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68" w:rsidRPr="008278CE" w:rsidRDefault="00C62068" w:rsidP="00C62068">
      <w:pPr>
        <w:tabs>
          <w:tab w:val="left" w:pos="1995"/>
        </w:tabs>
        <w:jc w:val="right"/>
        <w:rPr>
          <w:rFonts w:ascii="MS Sans Serif" w:hAnsi="MS Sans Serif"/>
          <w:noProof/>
          <w:color w:val="262626"/>
          <w:sz w:val="28"/>
          <w:szCs w:val="28"/>
          <w:lang w:eastAsia="uk-UA"/>
        </w:rPr>
      </w:pPr>
      <w:r w:rsidRPr="008278CE">
        <w:rPr>
          <w:rFonts w:ascii="MS Sans Serif" w:hAnsi="MS Sans Serif"/>
          <w:noProof/>
          <w:color w:val="262626"/>
          <w:sz w:val="28"/>
          <w:szCs w:val="28"/>
        </w:rPr>
        <w:t xml:space="preserve">                                                                         </w:t>
      </w:r>
    </w:p>
    <w:p w:rsidR="00C62068" w:rsidRPr="00C62068" w:rsidRDefault="00C62068" w:rsidP="00C62068">
      <w:pPr>
        <w:tabs>
          <w:tab w:val="left" w:pos="1995"/>
        </w:tabs>
        <w:jc w:val="center"/>
        <w:rPr>
          <w:rFonts w:ascii="Times New Roman" w:hAnsi="Times New Roman" w:cs="Times New Roman"/>
          <w:b/>
          <w:noProof/>
          <w:color w:val="262626"/>
          <w:sz w:val="32"/>
        </w:rPr>
      </w:pPr>
      <w:r w:rsidRPr="00C62068">
        <w:rPr>
          <w:rFonts w:ascii="Times New Roman" w:hAnsi="Times New Roman" w:cs="Times New Roman"/>
          <w:b/>
          <w:noProof/>
          <w:color w:val="262626"/>
          <w:sz w:val="16"/>
        </w:rPr>
        <w:drawing>
          <wp:inline distT="0" distB="0" distL="0" distR="0" wp14:anchorId="1847A435" wp14:editId="0F734CE3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68" w:rsidRPr="00C62068" w:rsidRDefault="00C62068" w:rsidP="00C62068">
      <w:pPr>
        <w:jc w:val="center"/>
        <w:rPr>
          <w:rFonts w:ascii="Times New Roman" w:hAnsi="Times New Roman" w:cs="Times New Roman"/>
          <w:b/>
          <w:color w:val="262626"/>
          <w:sz w:val="32"/>
        </w:rPr>
      </w:pPr>
      <w:r w:rsidRPr="00C62068">
        <w:rPr>
          <w:rFonts w:ascii="Times New Roman" w:hAnsi="Times New Roman" w:cs="Times New Roman"/>
          <w:b/>
          <w:color w:val="262626"/>
          <w:sz w:val="32"/>
        </w:rPr>
        <w:t>УКРАЇНА</w:t>
      </w:r>
    </w:p>
    <w:p w:rsidR="00C62068" w:rsidRPr="00C62068" w:rsidRDefault="00C62068" w:rsidP="00C62068">
      <w:pPr>
        <w:pStyle w:val="a6"/>
        <w:rPr>
          <w:color w:val="262626"/>
          <w:sz w:val="28"/>
          <w:szCs w:val="28"/>
        </w:rPr>
      </w:pPr>
      <w:r w:rsidRPr="00C62068">
        <w:rPr>
          <w:color w:val="262626"/>
          <w:sz w:val="28"/>
          <w:szCs w:val="28"/>
        </w:rPr>
        <w:t>ПЕРВОМАЙСЬКА  РАЙОННА  РАДА</w:t>
      </w:r>
    </w:p>
    <w:p w:rsidR="00C62068" w:rsidRPr="00C62068" w:rsidRDefault="00C62068" w:rsidP="00C62068">
      <w:pPr>
        <w:pStyle w:val="a6"/>
        <w:rPr>
          <w:color w:val="262626"/>
          <w:sz w:val="28"/>
          <w:szCs w:val="28"/>
        </w:rPr>
      </w:pPr>
      <w:r w:rsidRPr="00C62068">
        <w:rPr>
          <w:color w:val="262626"/>
          <w:sz w:val="28"/>
          <w:szCs w:val="28"/>
        </w:rPr>
        <w:t>МИКОЛАЇВСЬКОЇ   ОБЛАСТІ</w:t>
      </w:r>
    </w:p>
    <w:p w:rsidR="00C62068" w:rsidRPr="00C62068" w:rsidRDefault="00C62068" w:rsidP="00C62068">
      <w:pPr>
        <w:pStyle w:val="a6"/>
        <w:rPr>
          <w:color w:val="262626"/>
          <w:sz w:val="16"/>
          <w:szCs w:val="16"/>
        </w:rPr>
      </w:pPr>
    </w:p>
    <w:p w:rsidR="00C62068" w:rsidRPr="00C62068" w:rsidRDefault="00C62068" w:rsidP="00C62068">
      <w:pPr>
        <w:pStyle w:val="a6"/>
        <w:rPr>
          <w:color w:val="262626"/>
          <w:sz w:val="16"/>
          <w:szCs w:val="16"/>
        </w:rPr>
      </w:pPr>
    </w:p>
    <w:p w:rsidR="00C62068" w:rsidRPr="00C62068" w:rsidRDefault="00C62068" w:rsidP="00C62068">
      <w:pPr>
        <w:pStyle w:val="a6"/>
        <w:rPr>
          <w:color w:val="262626"/>
          <w:sz w:val="32"/>
        </w:rPr>
      </w:pPr>
      <w:r w:rsidRPr="00C62068">
        <w:rPr>
          <w:color w:val="262626"/>
          <w:sz w:val="32"/>
        </w:rPr>
        <w:t>РІШЕННЯ</w:t>
      </w:r>
    </w:p>
    <w:p w:rsidR="00C62068" w:rsidRPr="0056088A" w:rsidRDefault="00C62068" w:rsidP="00C62068">
      <w:pPr>
        <w:pStyle w:val="a6"/>
        <w:jc w:val="both"/>
        <w:rPr>
          <w:color w:val="262626"/>
          <w:sz w:val="16"/>
          <w:szCs w:val="16"/>
        </w:rPr>
      </w:pPr>
    </w:p>
    <w:p w:rsidR="00C62068" w:rsidRDefault="00C62068" w:rsidP="00C62068">
      <w:pPr>
        <w:pStyle w:val="a6"/>
        <w:rPr>
          <w:color w:val="262626"/>
          <w:u w:val="single"/>
        </w:rPr>
      </w:pPr>
    </w:p>
    <w:p w:rsidR="00C62068" w:rsidRDefault="00C62068" w:rsidP="00C62068">
      <w:pPr>
        <w:pStyle w:val="a6"/>
        <w:jc w:val="left"/>
      </w:pPr>
      <w:r>
        <w:rPr>
          <w:color w:val="262626"/>
          <w:sz w:val="28"/>
          <w:szCs w:val="28"/>
          <w:u w:val="single"/>
        </w:rPr>
        <w:t>від</w:t>
      </w:r>
      <w:r>
        <w:rPr>
          <w:b w:val="0"/>
          <w:color w:val="262626"/>
          <w:sz w:val="28"/>
          <w:szCs w:val="28"/>
          <w:u w:val="single"/>
        </w:rPr>
        <w:t xml:space="preserve">     </w:t>
      </w:r>
      <w:r w:rsidR="008A0334">
        <w:rPr>
          <w:b w:val="0"/>
          <w:color w:val="262626"/>
          <w:sz w:val="28"/>
          <w:szCs w:val="28"/>
          <w:u w:val="single"/>
          <w:lang w:val="ru-RU"/>
        </w:rPr>
        <w:t xml:space="preserve">21 </w:t>
      </w:r>
      <w:proofErr w:type="spellStart"/>
      <w:r w:rsidR="008A0334">
        <w:rPr>
          <w:b w:val="0"/>
          <w:color w:val="262626"/>
          <w:sz w:val="28"/>
          <w:szCs w:val="28"/>
          <w:u w:val="single"/>
          <w:lang w:val="ru-RU"/>
        </w:rPr>
        <w:t>вересня</w:t>
      </w:r>
      <w:proofErr w:type="spellEnd"/>
      <w:r>
        <w:rPr>
          <w:b w:val="0"/>
          <w:color w:val="262626"/>
          <w:sz w:val="28"/>
          <w:szCs w:val="28"/>
          <w:u w:val="single"/>
        </w:rPr>
        <w:t xml:space="preserve"> 2018 року</w:t>
      </w:r>
      <w:r>
        <w:rPr>
          <w:color w:val="262626"/>
          <w:sz w:val="28"/>
          <w:szCs w:val="28"/>
          <w:u w:val="single"/>
        </w:rPr>
        <w:t xml:space="preserve">   № </w:t>
      </w:r>
      <w:r>
        <w:rPr>
          <w:b w:val="0"/>
          <w:color w:val="262626"/>
          <w:sz w:val="28"/>
          <w:szCs w:val="28"/>
          <w:u w:val="single"/>
        </w:rPr>
        <w:t xml:space="preserve"> </w:t>
      </w:r>
      <w:r w:rsidR="008A0334">
        <w:rPr>
          <w:b w:val="0"/>
          <w:color w:val="262626"/>
          <w:sz w:val="28"/>
          <w:szCs w:val="28"/>
          <w:u w:val="single"/>
          <w:lang w:val="ru-RU"/>
        </w:rPr>
        <w:t>6</w:t>
      </w:r>
      <w:r>
        <w:rPr>
          <w:b w:val="0"/>
          <w:color w:val="262626"/>
          <w:sz w:val="28"/>
          <w:szCs w:val="28"/>
          <w:u w:val="single"/>
        </w:rPr>
        <w:t xml:space="preserve"> </w:t>
      </w:r>
      <w:r>
        <w:rPr>
          <w:b w:val="0"/>
          <w:color w:val="262626"/>
          <w:sz w:val="28"/>
          <w:szCs w:val="28"/>
        </w:rPr>
        <w:t xml:space="preserve">             </w:t>
      </w:r>
      <w:r>
        <w:rPr>
          <w:b w:val="0"/>
          <w:bCs/>
          <w:iCs/>
          <w:sz w:val="28"/>
          <w:szCs w:val="28"/>
        </w:rPr>
        <w:t>ХХ</w:t>
      </w:r>
      <w:r>
        <w:rPr>
          <w:b w:val="0"/>
          <w:bCs/>
          <w:iCs/>
          <w:sz w:val="28"/>
          <w:szCs w:val="28"/>
          <w:lang w:val="en-US"/>
        </w:rPr>
        <w:t>VI</w:t>
      </w:r>
      <w:r>
        <w:rPr>
          <w:b w:val="0"/>
          <w:bCs/>
          <w:iCs/>
          <w:sz w:val="28"/>
          <w:szCs w:val="28"/>
        </w:rPr>
        <w:t>І</w:t>
      </w:r>
      <w:r>
        <w:rPr>
          <w:b w:val="0"/>
          <w:bCs/>
          <w:i/>
          <w:iCs/>
          <w:color w:val="FF0000"/>
          <w:sz w:val="28"/>
          <w:szCs w:val="28"/>
        </w:rPr>
        <w:t xml:space="preserve">  </w:t>
      </w:r>
      <w:r>
        <w:rPr>
          <w:b w:val="0"/>
          <w:bCs/>
          <w:sz w:val="28"/>
          <w:szCs w:val="28"/>
        </w:rPr>
        <w:t>сесія   сьомого  скликання</w:t>
      </w:r>
    </w:p>
    <w:p w:rsidR="00C62068" w:rsidRPr="00C62068" w:rsidRDefault="00022DA2" w:rsidP="00C62068">
      <w:pPr>
        <w:tabs>
          <w:tab w:val="left" w:pos="2340"/>
        </w:tabs>
        <w:ind w:hanging="284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22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2DA2" w:rsidRPr="00C62068" w:rsidRDefault="00022DA2" w:rsidP="00C62068">
      <w:pPr>
        <w:tabs>
          <w:tab w:val="left" w:pos="2340"/>
        </w:tabs>
        <w:ind w:hanging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22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0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айонної Програми </w:t>
      </w:r>
      <w:r w:rsidR="00C6206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C62068">
        <w:rPr>
          <w:rFonts w:ascii="Times New Roman" w:hAnsi="Times New Roman" w:cs="Times New Roman"/>
          <w:sz w:val="28"/>
          <w:szCs w:val="28"/>
        </w:rPr>
        <w:t xml:space="preserve"> 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запобігання і лікування серцево-судинних</w:t>
      </w:r>
      <w:r w:rsidR="00C6206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та судинно-мозкових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</w:t>
      </w:r>
      <w:r w:rsidR="00C6206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2018-2020роки</w:t>
      </w:r>
    </w:p>
    <w:p w:rsidR="00022DA2" w:rsidRPr="00C62068" w:rsidRDefault="00022DA2" w:rsidP="00022DA2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2FB7" w:rsidRPr="00C62068" w:rsidRDefault="00022DA2" w:rsidP="009621D8">
      <w:pPr>
        <w:tabs>
          <w:tab w:val="left" w:pos="975"/>
        </w:tabs>
        <w:spacing w:after="0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З метою зниження рівня захворюваності на серцево-судинні та судинно-мозкові хвороби, 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>та смертності від їх ускладнень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, поліпшення спеціалізованої  комплексної   профілактики  і лікування  серцево- судинних та   судинних та судинно-мозкових</w:t>
      </w:r>
      <w:r w:rsidR="000D2FB7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0D2FB7" w:rsidRPr="00C62068">
        <w:rPr>
          <w:rFonts w:ascii="Times New Roman" w:hAnsi="Times New Roman" w:cs="Times New Roman"/>
          <w:sz w:val="28"/>
          <w:szCs w:val="28"/>
          <w:lang w:val="uk-UA"/>
        </w:rPr>
        <w:t>, а також підвищення  якості життя  населення району, на підставі пункту 16 частини першої статті 43 Закону України «Про місцеве самоврядування в Україні», Закону України «Основи законодавства України про охорону здоров’я» від 19 листопада 1992</w:t>
      </w:r>
      <w:r w:rsidR="008A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FB7" w:rsidRPr="00C62068">
        <w:rPr>
          <w:rFonts w:ascii="Times New Roman" w:hAnsi="Times New Roman" w:cs="Times New Roman"/>
          <w:sz w:val="28"/>
          <w:szCs w:val="28"/>
          <w:lang w:val="uk-UA"/>
        </w:rPr>
        <w:t>року №2801-</w:t>
      </w:r>
      <w:r w:rsidR="000D2FB7" w:rsidRPr="00C620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2FB7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ІІ, враховуючи план пріоритетних дій Уряду на 2017рік, затверджений розпорядженням Кабінету Міністрів України від 03 квітня 2017року №275-р, рішення Миколаївської обласної ради №1 від   12 квітня 2018року </w:t>
      </w:r>
      <w:r w:rsidR="000D2FB7" w:rsidRPr="00C6206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D2FB7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сесії сьомого скликання.</w:t>
      </w:r>
    </w:p>
    <w:p w:rsidR="000D2FB7" w:rsidRPr="00C62068" w:rsidRDefault="000D2FB7" w:rsidP="009621D8">
      <w:pPr>
        <w:tabs>
          <w:tab w:val="left" w:pos="975"/>
        </w:tabs>
        <w:spacing w:after="0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DA2" w:rsidRPr="00C62068" w:rsidRDefault="00022DA2" w:rsidP="009621D8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363B5" w:rsidRPr="00C62068" w:rsidRDefault="00022DA2" w:rsidP="009621D8">
      <w:pPr>
        <w:tabs>
          <w:tab w:val="left" w:pos="975"/>
        </w:tabs>
        <w:spacing w:after="0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районну Програму </w:t>
      </w:r>
      <w:r w:rsidR="000D2FB7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і лікування </w:t>
      </w:r>
      <w:r w:rsidR="003363B5" w:rsidRPr="00C62068">
        <w:rPr>
          <w:rFonts w:ascii="Times New Roman" w:hAnsi="Times New Roman" w:cs="Times New Roman"/>
          <w:sz w:val="28"/>
          <w:szCs w:val="28"/>
          <w:lang w:val="uk-UA"/>
        </w:rPr>
        <w:t>серцево-</w:t>
      </w:r>
    </w:p>
    <w:p w:rsidR="00022DA2" w:rsidRPr="00C62068" w:rsidRDefault="003363B5" w:rsidP="009621D8">
      <w:pPr>
        <w:tabs>
          <w:tab w:val="left" w:pos="975"/>
        </w:tabs>
        <w:spacing w:after="0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 судинних та судинно-мозкових захворювань на 2018-2020роки ( далі-Програма), що </w:t>
      </w:r>
      <w:r w:rsidR="00022DA2" w:rsidRPr="00C62068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022DA2" w:rsidRPr="00C62068" w:rsidRDefault="00022DA2" w:rsidP="009621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t>2.Рекомендувати:</w:t>
      </w:r>
    </w:p>
    <w:p w:rsidR="00022DA2" w:rsidRPr="00C62068" w:rsidRDefault="00022DA2" w:rsidP="009621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   2.1. 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Первомайській р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айонній державній адміністрації забезпечити виконання заходів, які передбачені даною Програмою.</w:t>
      </w:r>
    </w:p>
    <w:p w:rsidR="00022DA2" w:rsidRPr="00C62068" w:rsidRDefault="00022DA2" w:rsidP="009621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2.2.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Первомайській ц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ентральній районній лікарні та К</w:t>
      </w:r>
      <w:r w:rsidR="00262322" w:rsidRPr="00C6206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62322" w:rsidRPr="00C6206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ЦПМСД</w:t>
      </w:r>
      <w:r w:rsidR="00262322" w:rsidRPr="00C620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</w:t>
      </w:r>
      <w:r w:rsidR="00262322" w:rsidRPr="00C6206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262322" w:rsidRPr="00C62068">
        <w:rPr>
          <w:rFonts w:ascii="Times New Roman" w:hAnsi="Times New Roman" w:cs="Times New Roman"/>
          <w:sz w:val="28"/>
          <w:szCs w:val="28"/>
          <w:lang w:val="uk-UA"/>
        </w:rPr>
        <w:t>ної ради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заходів районної Програми організувати роботу із залученням інвестицій, благодійних внесків.</w:t>
      </w:r>
    </w:p>
    <w:p w:rsidR="00022DA2" w:rsidRPr="00C62068" w:rsidRDefault="00022DA2" w:rsidP="009621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62068">
        <w:rPr>
          <w:rFonts w:ascii="Times New Roman" w:hAnsi="Times New Roman" w:cs="Times New Roman"/>
          <w:sz w:val="28"/>
          <w:szCs w:val="28"/>
          <w:lang w:val="uk-UA"/>
        </w:rPr>
        <w:t>3.Контроль</w:t>
      </w:r>
      <w:r w:rsidR="009621D8" w:rsidRPr="00C62068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даного рішення по</w:t>
      </w:r>
      <w:r w:rsidRPr="00C62068">
        <w:rPr>
          <w:rFonts w:ascii="Times New Roman" w:hAnsi="Times New Roman" w:cs="Times New Roman"/>
          <w:sz w:val="28"/>
          <w:szCs w:val="28"/>
          <w:lang w:val="uk-UA"/>
        </w:rPr>
        <w:t>класти на постійну комісію районної ради з питань охорони здоров’я, материнства, дитинства та соціального захисту населення.</w:t>
      </w:r>
    </w:p>
    <w:p w:rsidR="00022DA2" w:rsidRPr="00C62068" w:rsidRDefault="00022DA2" w:rsidP="009621D8">
      <w:pPr>
        <w:pStyle w:val="Style2"/>
        <w:widowControl/>
        <w:spacing w:line="240" w:lineRule="auto"/>
        <w:ind w:firstLine="0"/>
        <w:rPr>
          <w:rStyle w:val="FontStyle11"/>
          <w:b/>
          <w:sz w:val="28"/>
          <w:szCs w:val="28"/>
          <w:lang w:val="uk-UA" w:eastAsia="uk-UA"/>
        </w:rPr>
      </w:pPr>
    </w:p>
    <w:p w:rsidR="00022DA2" w:rsidRPr="00C62068" w:rsidRDefault="00022DA2" w:rsidP="009621D8">
      <w:pPr>
        <w:pStyle w:val="Style2"/>
        <w:widowControl/>
        <w:spacing w:line="240" w:lineRule="auto"/>
        <w:ind w:firstLine="0"/>
        <w:rPr>
          <w:rStyle w:val="FontStyle11"/>
          <w:b/>
          <w:sz w:val="28"/>
          <w:szCs w:val="28"/>
          <w:lang w:val="uk-UA" w:eastAsia="uk-UA"/>
        </w:rPr>
      </w:pPr>
    </w:p>
    <w:p w:rsidR="00022DA2" w:rsidRDefault="009621D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  <w:r w:rsidRPr="00C62068">
        <w:rPr>
          <w:rStyle w:val="FontStyle11"/>
          <w:sz w:val="28"/>
          <w:szCs w:val="28"/>
          <w:lang w:val="uk-UA" w:eastAsia="uk-UA"/>
        </w:rPr>
        <w:t xml:space="preserve">Голова районної ради                                                                     </w:t>
      </w:r>
      <w:proofErr w:type="spellStart"/>
      <w:r w:rsidRPr="00C62068">
        <w:rPr>
          <w:rStyle w:val="FontStyle11"/>
          <w:sz w:val="28"/>
          <w:szCs w:val="28"/>
          <w:lang w:val="uk-UA" w:eastAsia="uk-UA"/>
        </w:rPr>
        <w:t>С.А.В</w:t>
      </w:r>
      <w:r w:rsidR="00C62068">
        <w:rPr>
          <w:rStyle w:val="FontStyle11"/>
          <w:sz w:val="28"/>
          <w:szCs w:val="28"/>
          <w:lang w:val="uk-UA" w:eastAsia="uk-UA"/>
        </w:rPr>
        <w:t>овк</w:t>
      </w:r>
      <w:proofErr w:type="spellEnd"/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E1AE3" w:rsidRDefault="001E1AE3" w:rsidP="001E1AE3">
      <w:pPr>
        <w:shd w:val="clear" w:color="auto" w:fill="FFFFFF"/>
        <w:tabs>
          <w:tab w:val="left" w:pos="3094"/>
        </w:tabs>
        <w:spacing w:after="0" w:line="228" w:lineRule="exact"/>
        <w:ind w:left="24" w:right="24"/>
        <w:jc w:val="center"/>
        <w:rPr>
          <w:rFonts w:ascii="Times New Roman" w:hAnsi="Times New Roman"/>
          <w:b/>
          <w:sz w:val="26"/>
          <w:szCs w:val="26"/>
        </w:rPr>
      </w:pPr>
    </w:p>
    <w:p w:rsidR="001E1AE3" w:rsidRPr="0095315C" w:rsidRDefault="001E1AE3" w:rsidP="001E1AE3">
      <w:pPr>
        <w:shd w:val="clear" w:color="auto" w:fill="FFFFFF"/>
        <w:tabs>
          <w:tab w:val="left" w:pos="3094"/>
        </w:tabs>
        <w:spacing w:after="0" w:line="228" w:lineRule="exact"/>
        <w:ind w:left="24" w:right="2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5315C">
        <w:rPr>
          <w:rFonts w:ascii="Times New Roman" w:hAnsi="Times New Roman"/>
          <w:b/>
          <w:sz w:val="26"/>
          <w:szCs w:val="26"/>
        </w:rPr>
        <w:lastRenderedPageBreak/>
        <w:t>Результати</w:t>
      </w:r>
      <w:proofErr w:type="spellEnd"/>
      <w:r w:rsidRPr="0095315C">
        <w:rPr>
          <w:rFonts w:ascii="Times New Roman" w:hAnsi="Times New Roman"/>
          <w:b/>
          <w:sz w:val="26"/>
          <w:szCs w:val="26"/>
        </w:rPr>
        <w:t xml:space="preserve"> </w:t>
      </w:r>
    </w:p>
    <w:p w:rsidR="001E1AE3" w:rsidRDefault="001E1AE3" w:rsidP="001E1AE3">
      <w:pPr>
        <w:shd w:val="clear" w:color="auto" w:fill="FFFFFF"/>
        <w:tabs>
          <w:tab w:val="left" w:pos="3094"/>
        </w:tabs>
        <w:spacing w:after="0" w:line="228" w:lineRule="exact"/>
        <w:ind w:left="24" w:right="2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95315C">
        <w:rPr>
          <w:rFonts w:ascii="Times New Roman" w:hAnsi="Times New Roman"/>
          <w:b/>
          <w:sz w:val="26"/>
          <w:szCs w:val="26"/>
        </w:rPr>
        <w:t>поіменного</w:t>
      </w:r>
      <w:proofErr w:type="spellEnd"/>
      <w:r w:rsidRPr="0095315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голосування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за </w:t>
      </w:r>
      <w:proofErr w:type="spellStart"/>
      <w:r>
        <w:rPr>
          <w:rFonts w:ascii="Times New Roman" w:hAnsi="Times New Roman"/>
          <w:b/>
          <w:sz w:val="26"/>
          <w:szCs w:val="26"/>
        </w:rPr>
        <w:t>рішення</w:t>
      </w:r>
      <w:proofErr w:type="spellEnd"/>
    </w:p>
    <w:p w:rsidR="001E1AE3" w:rsidRPr="00FE2D3D" w:rsidRDefault="001E1AE3" w:rsidP="001E1AE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 w:rsidRPr="00FE2D3D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FE2D3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затвердження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районної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запобігання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лікування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серцево-судинних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судинно-мозкових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захворювань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на 2018-2020 роки</w:t>
      </w:r>
      <w:r w:rsidRPr="00FE2D3D">
        <w:rPr>
          <w:i/>
          <w:color w:val="000000"/>
          <w:sz w:val="28"/>
          <w:szCs w:val="28"/>
        </w:rPr>
        <w:t>»</w:t>
      </w:r>
    </w:p>
    <w:p w:rsidR="001E1AE3" w:rsidRDefault="001E1AE3" w:rsidP="001E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 w:rsidRPr="00265B7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B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proofErr w:type="gramEnd"/>
      <w:r w:rsidRPr="00265B7B">
        <w:rPr>
          <w:rFonts w:ascii="Times New Roman" w:hAnsi="Times New Roman"/>
          <w:b/>
          <w:sz w:val="28"/>
          <w:szCs w:val="28"/>
        </w:rPr>
        <w:t xml:space="preserve">  - в </w:t>
      </w:r>
      <w:proofErr w:type="spellStart"/>
      <w:r w:rsidRPr="00265B7B">
        <w:rPr>
          <w:rFonts w:ascii="Times New Roman" w:hAnsi="Times New Roman"/>
          <w:b/>
          <w:sz w:val="28"/>
          <w:szCs w:val="28"/>
        </w:rPr>
        <w:t>цілому</w:t>
      </w:r>
      <w:proofErr w:type="spellEnd"/>
    </w:p>
    <w:p w:rsidR="001E1AE3" w:rsidRPr="006B2CE1" w:rsidRDefault="001E1AE3" w:rsidP="001E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21.09.2018</w:t>
      </w:r>
    </w:p>
    <w:p w:rsidR="001E1AE3" w:rsidRPr="00063070" w:rsidRDefault="001E1AE3" w:rsidP="001E1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70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21</w:t>
      </w:r>
      <w:r w:rsidRPr="0006307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3070">
        <w:rPr>
          <w:rFonts w:ascii="Times New Roman" w:hAnsi="Times New Roman"/>
          <w:b/>
          <w:sz w:val="24"/>
          <w:szCs w:val="24"/>
        </w:rPr>
        <w:t xml:space="preserve">ПРОТИ  </w:t>
      </w:r>
      <w:r>
        <w:rPr>
          <w:rFonts w:ascii="Times New Roman" w:hAnsi="Times New Roman"/>
          <w:b/>
          <w:sz w:val="24"/>
          <w:szCs w:val="24"/>
        </w:rPr>
        <w:t>0</w:t>
      </w:r>
      <w:proofErr w:type="gramEnd"/>
      <w:r w:rsidRPr="00063070">
        <w:rPr>
          <w:rFonts w:ascii="Times New Roman" w:hAnsi="Times New Roman"/>
          <w:b/>
          <w:sz w:val="24"/>
          <w:szCs w:val="24"/>
        </w:rPr>
        <w:t xml:space="preserve">    УТРИМАЛИСЯ  </w:t>
      </w:r>
      <w:r>
        <w:rPr>
          <w:rFonts w:ascii="Times New Roman" w:hAnsi="Times New Roman"/>
          <w:b/>
          <w:sz w:val="24"/>
          <w:szCs w:val="24"/>
        </w:rPr>
        <w:t>0</w:t>
      </w:r>
      <w:r w:rsidRPr="00063070">
        <w:rPr>
          <w:rFonts w:ascii="Times New Roman" w:hAnsi="Times New Roman"/>
          <w:b/>
          <w:sz w:val="24"/>
          <w:szCs w:val="24"/>
        </w:rPr>
        <w:t xml:space="preserve">    НЕ ГОЛОСУВАЛИ </w:t>
      </w:r>
      <w:r>
        <w:rPr>
          <w:rFonts w:ascii="Times New Roman" w:hAnsi="Times New Roman"/>
          <w:b/>
          <w:sz w:val="24"/>
          <w:szCs w:val="24"/>
        </w:rPr>
        <w:t>3</w:t>
      </w:r>
      <w:r w:rsidRPr="00063070">
        <w:rPr>
          <w:rFonts w:ascii="Times New Roman" w:hAnsi="Times New Roman"/>
          <w:b/>
          <w:sz w:val="24"/>
          <w:szCs w:val="24"/>
        </w:rPr>
        <w:t xml:space="preserve">   ВСЬ</w:t>
      </w:r>
      <w:r>
        <w:rPr>
          <w:rFonts w:ascii="Times New Roman" w:hAnsi="Times New Roman"/>
          <w:b/>
          <w:sz w:val="24"/>
          <w:szCs w:val="24"/>
        </w:rPr>
        <w:t>О</w:t>
      </w:r>
      <w:r w:rsidRPr="00063070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24</w:t>
      </w:r>
    </w:p>
    <w:p w:rsidR="001E1AE3" w:rsidRPr="0095315C" w:rsidRDefault="001E1AE3" w:rsidP="001E1AE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5315C">
        <w:rPr>
          <w:rFonts w:ascii="Times New Roman" w:hAnsi="Times New Roman"/>
          <w:sz w:val="26"/>
          <w:szCs w:val="26"/>
        </w:rPr>
        <w:t>Рішення</w:t>
      </w:r>
      <w:proofErr w:type="spellEnd"/>
      <w:r w:rsidRPr="00953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прийнято</w:t>
      </w:r>
      <w:proofErr w:type="spellEnd"/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656"/>
        <w:gridCol w:w="3192"/>
      </w:tblGrid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Блажкевич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Василь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Біднарик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Анатолій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голосував</w:t>
            </w:r>
            <w:proofErr w:type="spell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Бушилов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Вусик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Валентин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Грищенко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відсутній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734D"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 Людмила</w:t>
            </w:r>
            <w:proofErr w:type="gram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В’ячеславівна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відсутня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голосувала</w:t>
            </w:r>
            <w:proofErr w:type="spell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Дудіч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відсутній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Зацерківний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Кіт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Данило Павлович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Ковальчук Людмила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Колесніченко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Король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Косташенко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Костенко 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proofErr w:type="gram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Кравцова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Надія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Краєвський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відсутній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Маковеєнко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Малюк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Анатолій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голосував</w:t>
            </w:r>
            <w:proofErr w:type="spell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Маляренко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відсутня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734D">
              <w:rPr>
                <w:rFonts w:ascii="Times New Roman" w:hAnsi="Times New Roman"/>
                <w:sz w:val="28"/>
                <w:szCs w:val="28"/>
              </w:rPr>
              <w:t>Маняк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 Олег</w:t>
            </w:r>
            <w:proofErr w:type="gram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відсутній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Пак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Повстемська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Віра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відсутня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Повстемська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Пригара Василь Петрович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відсутній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Пташинський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Ратковський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Рудий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Яків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відсутній</w:t>
            </w:r>
            <w:proofErr w:type="spellEnd"/>
            <w:proofErr w:type="gramEnd"/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Співак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Харь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48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Чепіжко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1AE3" w:rsidRPr="0019734D" w:rsidTr="00940622">
        <w:tc>
          <w:tcPr>
            <w:tcW w:w="65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AE3" w:rsidRPr="00FE2D3D" w:rsidRDefault="001E1AE3" w:rsidP="00940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AE3" w:rsidRPr="0019734D" w:rsidTr="00940622">
        <w:trPr>
          <w:gridBefore w:val="1"/>
          <w:wBefore w:w="648" w:type="dxa"/>
          <w:trHeight w:val="231"/>
        </w:trPr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b/>
                <w:sz w:val="28"/>
                <w:szCs w:val="28"/>
              </w:rPr>
              <w:t>Лічильна</w:t>
            </w:r>
            <w:proofErr w:type="spellEnd"/>
            <w:r w:rsidRPr="001973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b/>
                <w:sz w:val="28"/>
                <w:szCs w:val="28"/>
              </w:rPr>
              <w:t>комісія</w:t>
            </w:r>
            <w:proofErr w:type="spellEnd"/>
            <w:r w:rsidRPr="0019734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AE3" w:rsidRPr="0019734D" w:rsidTr="00940622">
        <w:trPr>
          <w:trHeight w:val="24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особистий</w:t>
            </w:r>
            <w:proofErr w:type="spellEnd"/>
            <w:proofErr w:type="gramEnd"/>
            <w:r w:rsidRPr="00197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  <w:proofErr w:type="spellEnd"/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E1AE3" w:rsidRPr="0019734D" w:rsidTr="00940622">
        <w:trPr>
          <w:gridBefore w:val="2"/>
          <w:wBefore w:w="3888" w:type="dxa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E3" w:rsidRPr="0019734D" w:rsidTr="00940622">
        <w:trPr>
          <w:gridAfter w:val="1"/>
          <w:wAfter w:w="3192" w:type="dxa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AE3" w:rsidRPr="0019734D" w:rsidRDefault="001E1AE3" w:rsidP="00940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  <w:bookmarkStart w:id="0" w:name="_GoBack"/>
      <w:bookmarkEnd w:id="0"/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EC5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Районна програма</w:t>
      </w:r>
    </w:p>
    <w:p w:rsidR="00EC5C38" w:rsidRDefault="00EC5C38" w:rsidP="00EC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і лікування серцево-судинних</w:t>
      </w:r>
    </w:p>
    <w:p w:rsidR="00EC5C38" w:rsidRDefault="00EC5C38" w:rsidP="00EC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судинно-мозкових захворювань на 2018-2020 роки</w:t>
      </w:r>
    </w:p>
    <w:p w:rsidR="00EC5C38" w:rsidRDefault="00EC5C38" w:rsidP="00EC5C38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5C38" w:rsidRDefault="00EC5C38" w:rsidP="00EC5C3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1.Загальна частина</w:t>
      </w:r>
    </w:p>
    <w:p w:rsidR="00EC5C38" w:rsidRPr="00EC5C38" w:rsidRDefault="00EC5C38" w:rsidP="00EC5C3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5C38" w:rsidRDefault="00EC5C38" w:rsidP="00EC5C38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Серцево-судинні та судинно-мозкові захворювання істотно впливають на тривалість життя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населення,зумовлюючи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третину причин інвалідності та дві третини усіх випадків смерті. У загальній структурі смертності країн Європи та Північної Америки питома вага серцево-судинних захворювань становить 45-50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відсотків,в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Україні понад 67,06 відсотків, в районі - 43,69 відсотків.</w:t>
      </w:r>
    </w:p>
    <w:p w:rsidR="00EC5C38" w:rsidRDefault="00EC5C38" w:rsidP="00EC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Причини раптової коронарної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смерті,інфаркту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міокарда,інсульту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атеросклерозом. Результати досліджень свідчать про значне поширення факторів ризику серцево-судинних та судинно-мозкових захворювань в Україні (у 35,5 відсотка дорослих виявлено артеріальну гіпертензію, 56,8 відсотка мають надлишкову вагу, 64 відсотка чоловіків і 26,5 відсотки жінок палять).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Щороку в Україні реєструється близько 52 тис. випадків інфаркту міокарда, 100-110 тис. інсультів,20 тис. аритмій, 4 тис. набутих вад серця,2200 дітей із вродженими вадами серця.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 в області щороку реєструється близько 1100 випадків інфаркту міокарда, 2200 випадків інсультів, в районі реєструється щороку 20-25 випадків інфаркту міокарда, 40-50 інсультів,110-130 аритмій, 3-5 набутих вад серця, 5-6 дітей із вродженими вадами серця.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2017 рік первинна інвалідність при серцево-судинній патології в області серед осіб працездатного віку залишається надвисокою і становить 11,3 на 10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населення,по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7,0 на 10 тис. населення. Це пов’язано з погіршенням соціально-економічної ситуації в країні, що ускладнює впровадження у практику сучасних ефективних методів лікування, в тому числі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ендоваскулярних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хірургічних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Паспорт програми наведено у додатку 1.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EC5C38" w:rsidRDefault="00EC5C38" w:rsidP="00EC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2. Аналіз причин виникнення проблеми та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обґрунтування необхідності її розв’язання</w:t>
      </w:r>
    </w:p>
    <w:p w:rsidR="00EC5C38" w:rsidRP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Серцево-судинні та судино-мозкові захворювання є соціальною проблемою,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якої необхідна державна підтримка, координація зусиль усіх центральних та місцевих органів виконавчої влади.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Високий рівень смертності від серцево-судинних та судино-мозкових захворювань зумовлений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C38" w:rsidRPr="0064547F" w:rsidRDefault="00EC5C38" w:rsidP="00EC5C3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недостатньою поінформованістю населення про чинники ризику і можливість запобігання серцево-судинним та судино-мозковим хворобам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недостатністю бюджетного фінансування для закупівлі</w:t>
      </w:r>
    </w:p>
    <w:p w:rsidR="00EC5C38" w:rsidRPr="00EC5C38" w:rsidRDefault="00EC5C38" w:rsidP="00EC5C3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547F">
        <w:rPr>
          <w:rFonts w:ascii="Times New Roman" w:hAnsi="Times New Roman" w:cs="Times New Roman"/>
          <w:sz w:val="28"/>
          <w:szCs w:val="28"/>
          <w:lang w:val="uk-UA"/>
        </w:rPr>
        <w:t>діагностично</w:t>
      </w:r>
      <w:proofErr w:type="spellEnd"/>
      <w:r w:rsidRPr="0064547F">
        <w:rPr>
          <w:rFonts w:ascii="Times New Roman" w:hAnsi="Times New Roman" w:cs="Times New Roman"/>
          <w:sz w:val="28"/>
          <w:szCs w:val="28"/>
          <w:lang w:val="uk-UA"/>
        </w:rPr>
        <w:t>-лікувального обладнання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C38" w:rsidRPr="0064547F" w:rsidRDefault="00EC5C38" w:rsidP="00EC5C3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витратних матеріалів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  <w:r w:rsidRPr="00645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5C38" w:rsidRPr="0064547F" w:rsidRDefault="00EC5C38" w:rsidP="00EC5C3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сучасних лабораторних  реактивів.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Реформування галузі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району, здійснення належного обсягу надання медичної допомоги населенню Первомайського району вимагає суттєвого поліпшення у забезпечені медичних закладів  сучасним лікувально-діагностичним обладнанням.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Враховуючи значний щорічний обсяг медичної допомоги, наявну матеріально-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базу, в районі гостро стоїть питання необхідність придбання сучасного обладнання, зокрема електрокардіографів, системи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Телекард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дефібриляторів.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5 амбулаторіях загальної практики-сімейної медицини( АЗПСМ) КП «ПРЦПМСД» Первомайської районної ради відсутні електрокардіографи, не вистачає сучасного медичного обладнання для надання невідкладної медичної допомоги хворим на серцево-судинні та судино-мозкові захворювання в терапевтичному відділенні (електрокардіограф,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дефібрілятор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у відділенні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анастезіології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ліжками інтенсивної терапії (дефібрилятор, електрокардіограф, система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Телекард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 Первомайської ЦРЛ.</w:t>
      </w:r>
    </w:p>
    <w:p w:rsidR="00EC5C38" w:rsidRDefault="00EC5C38" w:rsidP="00EC5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Виконання Програми дозволить поліпшити рівень надання медичної допомоги населенню району, зокрема хворим на серцево-судинні та судино-мозкові захворювання, а також хворим, які перебувають на лікуванні у терапевтичному відділенні та відділенні анестезіології  з ліжками інтенсивної терапії Первомайської ЦРЛ.</w:t>
      </w:r>
    </w:p>
    <w:p w:rsidR="00EC5C38" w:rsidRPr="00EC5C38" w:rsidRDefault="00EC5C38" w:rsidP="00EC5C38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5C38" w:rsidRDefault="00EC5C38" w:rsidP="00EC5C38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Розділ3. Мета і основні завдання програми </w:t>
      </w:r>
    </w:p>
    <w:p w:rsidR="00EC5C38" w:rsidRPr="00EC5C38" w:rsidRDefault="00EC5C38" w:rsidP="00EC5C38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C5C3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</w:t>
      </w:r>
    </w:p>
    <w:p w:rsidR="00EC5C38" w:rsidRDefault="00EC5C38" w:rsidP="00EC5C38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4547F">
        <w:rPr>
          <w:rFonts w:ascii="Times New Roman" w:hAnsi="Times New Roman" w:cs="Times New Roman"/>
          <w:b/>
          <w:sz w:val="28"/>
          <w:szCs w:val="28"/>
          <w:lang w:val="uk-UA"/>
        </w:rPr>
        <w:t>Метою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підвищення ефективності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заходів,спрямованих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C38" w:rsidRDefault="00EC5C38" w:rsidP="00EC5C38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заходів , спрямованих на зниження захворюваності населення району серцево-судинними та судино-мозковими захворюваннями, зменшення інвалідності та смертності, пов'язаної з розвитком ускладнень;</w:t>
      </w:r>
    </w:p>
    <w:p w:rsidR="00EC5C38" w:rsidRPr="0064547F" w:rsidRDefault="00EC5C38" w:rsidP="00EC5C3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профілактику, ранню діагностику та лікування серцево-судинних та судино-мозкових захворювань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збільшення тривалості та підвищення якості життя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 xml:space="preserve">захист прав громадян на охорону </w:t>
      </w:r>
      <w:proofErr w:type="spellStart"/>
      <w:r w:rsidRPr="0064547F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64547F">
        <w:rPr>
          <w:rFonts w:ascii="Times New Roman" w:hAnsi="Times New Roman" w:cs="Times New Roman"/>
          <w:sz w:val="28"/>
          <w:szCs w:val="28"/>
        </w:rPr>
        <w:t>’</w:t>
      </w:r>
      <w:r w:rsidRPr="0064547F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EC5C38" w:rsidRPr="00EC5C38" w:rsidRDefault="00EC5C38" w:rsidP="00EC5C3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EC5C38" w:rsidRPr="0064547F" w:rsidRDefault="00EC5C38" w:rsidP="00EC5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 Програми є:</w:t>
      </w:r>
    </w:p>
    <w:p w:rsidR="00EC5C38" w:rsidRPr="0064547F" w:rsidRDefault="00EC5C38" w:rsidP="00EC5C3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Визначення пріоритетних напрямів в організації надання первинної медико- санітарної допомоги, вторинної медичної допомоги хворим з серцево-судинними та судино-мозковими захворюваннями, діагностичним сучасним обладнанням, лабораторними реактивами з урахуванням рівня, динаміки та структури захворюваності;</w:t>
      </w:r>
    </w:p>
    <w:p w:rsidR="00EC5C38" w:rsidRPr="0064547F" w:rsidRDefault="00EC5C38" w:rsidP="00EC5C3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підвищення рівня обізнаності  населення району шляхом висвітлення в засобах масової інформації  чинників ризику розвитку  серцево-судинним та судино-мозкових захворювань і можливість їх запобіганню;</w:t>
      </w:r>
    </w:p>
    <w:p w:rsidR="00EC5C38" w:rsidRDefault="00EC5C38" w:rsidP="00EC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C38" w:rsidRPr="0064547F" w:rsidRDefault="00EC5C38" w:rsidP="00EC5C3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поліпшення ранньої діагностики та своєчасне лікування серцево-судинних та судино-мозкових захворювань у відділеннях Первомайської ЦРЛ.</w:t>
      </w:r>
    </w:p>
    <w:p w:rsidR="00EC5C38" w:rsidRDefault="00EC5C38" w:rsidP="00EC5C3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Завдання та заходи з реалізації Програми наведено у додатку 2.</w:t>
      </w:r>
    </w:p>
    <w:p w:rsidR="00EC5C38" w:rsidRPr="00EC5C38" w:rsidRDefault="00EC5C38" w:rsidP="00EC5C3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5C38" w:rsidRDefault="00EC5C38" w:rsidP="00EC5C38">
      <w:pPr>
        <w:tabs>
          <w:tab w:val="left" w:pos="20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4.Фінансове забезпечення Програми</w:t>
      </w:r>
    </w:p>
    <w:p w:rsidR="00EC5C38" w:rsidRPr="00EC5C38" w:rsidRDefault="00EC5C38" w:rsidP="00EC5C38">
      <w:pPr>
        <w:tabs>
          <w:tab w:val="left" w:pos="207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5C38" w:rsidRDefault="00EC5C38" w:rsidP="00EC5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Джерелом фінансування Програми є кошти місцевого бюджету району, а також інші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джерела,не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заборонені чинним законодавством. Для реалізації заходів Програми можуть бути залучені державні та міжнародні джерела інформаційної, технічної та фінансової допомоги.</w:t>
      </w:r>
    </w:p>
    <w:p w:rsidR="00EC5C38" w:rsidRDefault="00EC5C38" w:rsidP="00EC5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Програми здійснюється щороку у межах коштів, передбачених у місцевому бюджеті</w:t>
      </w:r>
    </w:p>
    <w:p w:rsidR="00EC5C38" w:rsidRDefault="00EC5C38" w:rsidP="00EC5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Розрахунок обсягів та визначених джерел фінансування Програми наведено у додатку 3.</w:t>
      </w:r>
    </w:p>
    <w:p w:rsidR="00EC5C38" w:rsidRDefault="00EC5C38" w:rsidP="00EC5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Розрахунок обсягів спів фінансування Програми з місцевим бюджетом наведено у додатках 4, 5, 6, 7.</w:t>
      </w:r>
    </w:p>
    <w:p w:rsidR="00EC5C38" w:rsidRPr="00EC5C38" w:rsidRDefault="00EC5C38" w:rsidP="00EC5C38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5C38" w:rsidRDefault="00EC5C38" w:rsidP="00EC5C38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5. Очікувані результати</w:t>
      </w:r>
    </w:p>
    <w:p w:rsidR="00EC5C38" w:rsidRDefault="00EC5C38" w:rsidP="00EC5C38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змогу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C38" w:rsidRPr="0064547F" w:rsidRDefault="00EC5C38" w:rsidP="00EC5C3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підвищити рівень поінформованості населення щодо факторів ризику з серцево-судинних та судино-мозкових захворювань і способів їх корекції;</w:t>
      </w:r>
    </w:p>
    <w:p w:rsidR="00EC5C38" w:rsidRPr="0064547F" w:rsidRDefault="00EC5C38" w:rsidP="00EC5C3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досягти суттєвого поліпшення якості діагностики та лікування пацієнтів;</w:t>
      </w:r>
    </w:p>
    <w:p w:rsidR="00EC5C38" w:rsidRPr="0064547F" w:rsidRDefault="00EC5C38" w:rsidP="00EC5C3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знизити ризик захворюваності на серцево-судинні та судино-мозкові захворювання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зменшити рівень первинної інвалідності, зумовленої серцево-судинними та судино-мозковими захворюваннями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збільшити середню тривалість та якість життя населення району.</w:t>
      </w:r>
    </w:p>
    <w:p w:rsidR="00EC5C38" w:rsidRPr="00EC5C38" w:rsidRDefault="00EC5C38" w:rsidP="00EC5C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5C38" w:rsidRDefault="00EC5C38" w:rsidP="00EC5C38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6.Шляхи та способи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прблеми</w:t>
      </w:r>
      <w:proofErr w:type="spellEnd"/>
    </w:p>
    <w:p w:rsidR="00EC5C38" w:rsidRPr="00EC5C38" w:rsidRDefault="00EC5C38" w:rsidP="00EC5C38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5C38" w:rsidRDefault="00EC5C38" w:rsidP="00EC5C38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шляхами та способами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C38" w:rsidRPr="0064547F" w:rsidRDefault="00EC5C38" w:rsidP="00EC5C38">
      <w:pPr>
        <w:pStyle w:val="a8"/>
        <w:numPr>
          <w:ilvl w:val="0"/>
          <w:numId w:val="5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первинної та вторинної профілактики серцево-судинних та судино-мозкових захворювань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 xml:space="preserve">оснащення закладів охорони здоров’я району сучасним </w:t>
      </w:r>
      <w:proofErr w:type="spellStart"/>
      <w:r w:rsidRPr="0064547F">
        <w:rPr>
          <w:rFonts w:ascii="Times New Roman" w:hAnsi="Times New Roman" w:cs="Times New Roman"/>
          <w:sz w:val="28"/>
          <w:szCs w:val="28"/>
          <w:lang w:val="uk-UA"/>
        </w:rPr>
        <w:t>діагностично</w:t>
      </w:r>
      <w:proofErr w:type="spellEnd"/>
      <w:r w:rsidRPr="0064547F">
        <w:rPr>
          <w:rFonts w:ascii="Times New Roman" w:hAnsi="Times New Roman" w:cs="Times New Roman"/>
          <w:sz w:val="28"/>
          <w:szCs w:val="28"/>
          <w:lang w:val="uk-UA"/>
        </w:rPr>
        <w:t>-лікувальним обладнанням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5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виявлення серцево-судинних та судино-мозкових  захворювань на ранніх стадіях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7F">
        <w:rPr>
          <w:rFonts w:ascii="Times New Roman" w:hAnsi="Times New Roman" w:cs="Times New Roman"/>
          <w:sz w:val="28"/>
          <w:szCs w:val="28"/>
          <w:lang w:val="uk-UA"/>
        </w:rPr>
        <w:t>своєчасне надання первинної та вторинної медичної допомоги</w:t>
      </w:r>
      <w:r w:rsidRPr="0064547F">
        <w:rPr>
          <w:rFonts w:ascii="Times New Roman" w:hAnsi="Times New Roman" w:cs="Times New Roman"/>
          <w:sz w:val="28"/>
          <w:szCs w:val="28"/>
        </w:rPr>
        <w:t>;</w:t>
      </w:r>
    </w:p>
    <w:p w:rsidR="00EC5C38" w:rsidRPr="0064547F" w:rsidRDefault="00EC5C38" w:rsidP="00EC5C38">
      <w:pPr>
        <w:pStyle w:val="a8"/>
        <w:numPr>
          <w:ilvl w:val="0"/>
          <w:numId w:val="5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547F">
        <w:rPr>
          <w:rFonts w:ascii="Times New Roman" w:hAnsi="Times New Roman" w:cs="Times New Roman"/>
          <w:sz w:val="28"/>
          <w:szCs w:val="28"/>
          <w:lang w:val="uk-UA"/>
        </w:rPr>
        <w:t>дооснащення</w:t>
      </w:r>
      <w:proofErr w:type="spellEnd"/>
      <w:r w:rsidRPr="0064547F">
        <w:rPr>
          <w:rFonts w:ascii="Times New Roman" w:hAnsi="Times New Roman" w:cs="Times New Roman"/>
          <w:sz w:val="28"/>
          <w:szCs w:val="28"/>
          <w:lang w:val="uk-UA"/>
        </w:rPr>
        <w:t xml:space="preserve"> АЗПСМ  Первомайського району та відділень Первомайської ЦРЛ сучасним діагностичним обладнанням з метою надання у повному обсязі первинної та вторинної медичної допомоги при серцево-судинних та судино-мозкових захворюваннях;</w:t>
      </w:r>
    </w:p>
    <w:p w:rsidR="00EC5C38" w:rsidRDefault="00EC5C38" w:rsidP="00EC5C38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неухильне дотримання стандартів діагностики та клінічних протоколів лікування серцево-судинних та судино-мозкових захворювань на усіх етапах лікування.</w:t>
      </w:r>
    </w:p>
    <w:p w:rsidR="00EC5C38" w:rsidRPr="00EC5C38" w:rsidRDefault="00EC5C38" w:rsidP="00EC5C38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5C38" w:rsidRDefault="00EC5C38" w:rsidP="00EC5C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7.Організація та контроль за виконанням Програми</w:t>
      </w:r>
    </w:p>
    <w:p w:rsidR="00EC5C38" w:rsidRPr="00EC5C38" w:rsidRDefault="00EC5C38" w:rsidP="00EC5C38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5C38" w:rsidRDefault="00EC5C38" w:rsidP="00EC5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контролю за виконанням Програми адміністрації Первомайської ЦРЛ та КП «ПРЦПМСД» Первомайської районної ради здійснюють аналіз стану реалізації Програми та щороку до 15 січня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місяця,що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настає за звітним періодом, надають управлінню охорони здоров’я облдержадміністрації інформацію про хід виконання заходів.</w:t>
      </w:r>
    </w:p>
    <w:p w:rsidR="00EC5C38" w:rsidRDefault="00EC5C38" w:rsidP="00EC5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Звіт про хід виконання Програми раз на рік заслуховується на засіданні постійної комісії районної рад з питань соціального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захисту,охорони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я,материнства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дитинства, розвитку зон відпочинку та туризму.</w:t>
      </w:r>
    </w:p>
    <w:p w:rsidR="00EC5C38" w:rsidRDefault="00EC5C38" w:rsidP="00EC5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Первомайської ЦРЛ та КП «ПРЦПМСД» Первомайської районної ради раз на рік інформує районну раду про хід виконання заходів Програми.   </w:t>
      </w:r>
    </w:p>
    <w:p w:rsidR="00EC5C38" w:rsidRDefault="00EC5C38" w:rsidP="00EC5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C38" w:rsidRDefault="00EC5C38" w:rsidP="00EC5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C38" w:rsidRDefault="00EC5C38" w:rsidP="00EC5C38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EC5C38" w:rsidRPr="00C62068" w:rsidRDefault="00EC5C38" w:rsidP="009621D8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022DA2" w:rsidRPr="00C62068" w:rsidRDefault="00022DA2" w:rsidP="009621D8">
      <w:pPr>
        <w:pStyle w:val="Style2"/>
        <w:widowControl/>
        <w:spacing w:line="240" w:lineRule="auto"/>
        <w:ind w:firstLine="0"/>
        <w:rPr>
          <w:rStyle w:val="FontStyle11"/>
          <w:b/>
          <w:sz w:val="28"/>
          <w:szCs w:val="28"/>
          <w:lang w:val="uk-UA" w:eastAsia="uk-UA"/>
        </w:rPr>
      </w:pPr>
    </w:p>
    <w:p w:rsidR="00022DA2" w:rsidRPr="00C62068" w:rsidRDefault="00022DA2" w:rsidP="009621D8">
      <w:pPr>
        <w:pStyle w:val="Style2"/>
        <w:widowControl/>
        <w:spacing w:line="240" w:lineRule="auto"/>
        <w:ind w:firstLine="0"/>
        <w:rPr>
          <w:rStyle w:val="FontStyle11"/>
          <w:b/>
          <w:sz w:val="28"/>
          <w:szCs w:val="28"/>
          <w:lang w:val="uk-UA" w:eastAsia="uk-UA"/>
        </w:rPr>
      </w:pPr>
    </w:p>
    <w:p w:rsidR="00022DA2" w:rsidRPr="00C62068" w:rsidRDefault="00022DA2" w:rsidP="009621D8">
      <w:pPr>
        <w:pStyle w:val="Style2"/>
        <w:widowControl/>
        <w:spacing w:line="240" w:lineRule="auto"/>
        <w:ind w:firstLine="0"/>
        <w:rPr>
          <w:rStyle w:val="FontStyle11"/>
          <w:b/>
          <w:sz w:val="28"/>
          <w:szCs w:val="28"/>
          <w:lang w:val="uk-UA" w:eastAsia="uk-UA"/>
        </w:rPr>
      </w:pPr>
    </w:p>
    <w:p w:rsidR="00022DA2" w:rsidRPr="00C62068" w:rsidRDefault="00022DA2" w:rsidP="009621D8">
      <w:pPr>
        <w:pStyle w:val="Style2"/>
        <w:widowControl/>
        <w:spacing w:line="240" w:lineRule="auto"/>
        <w:ind w:firstLine="0"/>
        <w:rPr>
          <w:rStyle w:val="FontStyle11"/>
          <w:b/>
          <w:sz w:val="28"/>
          <w:szCs w:val="28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022DA2" w:rsidRDefault="00022DA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262322" w:rsidRDefault="0026232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262322" w:rsidRDefault="0026232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262322" w:rsidRDefault="0026232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262322" w:rsidRDefault="0026232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262322" w:rsidRDefault="0026232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262322" w:rsidRDefault="0026232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p w:rsidR="00262322" w:rsidRDefault="00262322" w:rsidP="00022DA2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36"/>
          <w:szCs w:val="36"/>
          <w:lang w:val="uk-UA" w:eastAsia="uk-UA"/>
        </w:rPr>
      </w:pPr>
    </w:p>
    <w:sectPr w:rsidR="00262322" w:rsidSect="00C620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B6582"/>
    <w:multiLevelType w:val="hybridMultilevel"/>
    <w:tmpl w:val="99F26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D593B"/>
    <w:multiLevelType w:val="hybridMultilevel"/>
    <w:tmpl w:val="A104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4C8F"/>
    <w:multiLevelType w:val="hybridMultilevel"/>
    <w:tmpl w:val="B918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243C"/>
    <w:multiLevelType w:val="hybridMultilevel"/>
    <w:tmpl w:val="EBF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5089A"/>
    <w:multiLevelType w:val="hybridMultilevel"/>
    <w:tmpl w:val="C710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28B"/>
    <w:rsid w:val="00022DA2"/>
    <w:rsid w:val="00076A17"/>
    <w:rsid w:val="000D2FB7"/>
    <w:rsid w:val="001E1AE3"/>
    <w:rsid w:val="00262322"/>
    <w:rsid w:val="003363B5"/>
    <w:rsid w:val="0037228B"/>
    <w:rsid w:val="008146CE"/>
    <w:rsid w:val="008A0334"/>
    <w:rsid w:val="009621D8"/>
    <w:rsid w:val="00B2316D"/>
    <w:rsid w:val="00BD3967"/>
    <w:rsid w:val="00C62068"/>
    <w:rsid w:val="00CE3ABB"/>
    <w:rsid w:val="00DB6ABB"/>
    <w:rsid w:val="00EB5E90"/>
    <w:rsid w:val="00EC5C38"/>
    <w:rsid w:val="00F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47534-1CFA-4DF6-93C7-0680B114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A5"/>
  </w:style>
  <w:style w:type="paragraph" w:styleId="1">
    <w:name w:val="heading 1"/>
    <w:basedOn w:val="a"/>
    <w:next w:val="a"/>
    <w:link w:val="10"/>
    <w:qFormat/>
    <w:rsid w:val="00022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2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DA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022DA2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caption"/>
    <w:basedOn w:val="a"/>
    <w:next w:val="a"/>
    <w:qFormat/>
    <w:rsid w:val="00022D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">
    <w:name w:val="Style2"/>
    <w:basedOn w:val="a"/>
    <w:rsid w:val="00022DA2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1">
    <w:name w:val="Font Style11"/>
    <w:rsid w:val="00022DA2"/>
    <w:rPr>
      <w:rFonts w:ascii="Times New Roman" w:hAnsi="Times New Roman" w:cs="Times New Roman"/>
      <w:sz w:val="26"/>
      <w:szCs w:val="26"/>
    </w:rPr>
  </w:style>
  <w:style w:type="paragraph" w:styleId="a6">
    <w:name w:val="Subtitle"/>
    <w:basedOn w:val="a"/>
    <w:link w:val="a7"/>
    <w:qFormat/>
    <w:rsid w:val="00C620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C62068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C5C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Светлана</dc:creator>
  <cp:keywords/>
  <dc:description/>
  <cp:lastModifiedBy>Рада</cp:lastModifiedBy>
  <cp:revision>12</cp:revision>
  <cp:lastPrinted>2018-09-10T10:54:00Z</cp:lastPrinted>
  <dcterms:created xsi:type="dcterms:W3CDTF">2018-06-20T09:34:00Z</dcterms:created>
  <dcterms:modified xsi:type="dcterms:W3CDTF">2018-09-21T11:45:00Z</dcterms:modified>
</cp:coreProperties>
</file>