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41" w:tblpY="-248"/>
        <w:tblW w:w="0" w:type="auto"/>
        <w:tblLook w:val="00A0"/>
      </w:tblPr>
      <w:tblGrid>
        <w:gridCol w:w="3823"/>
      </w:tblGrid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11" w:tblpY="-368"/>
        <w:tblW w:w="0" w:type="auto"/>
        <w:tblLook w:val="00A0"/>
      </w:tblPr>
      <w:tblGrid>
        <w:gridCol w:w="3823"/>
      </w:tblGrid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823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46" w:rsidRDefault="00827346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27346" w:rsidRDefault="00827346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827346" w:rsidRPr="00D8430D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Pr="00D8430D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програмА </w:t>
      </w:r>
    </w:p>
    <w:p w:rsidR="00827346" w:rsidRPr="00D8430D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розвитку малого І СЕРЕДНЬОГО підприємництва </w:t>
      </w:r>
    </w:p>
    <w:p w:rsidR="00827346" w:rsidRPr="00D8430D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>у ПЕРВОМАЙСЬКОМУ РАЙОНІ</w:t>
      </w: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>на 2015 – 2016 роки</w:t>
      </w: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Default="00827346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7346" w:rsidRPr="00D8430D" w:rsidRDefault="00827346" w:rsidP="00D8430D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692" w:tblpY="141"/>
        <w:tblW w:w="0" w:type="auto"/>
        <w:tblLook w:val="00A0"/>
      </w:tblPr>
      <w:tblGrid>
        <w:gridCol w:w="3969"/>
      </w:tblGrid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346" w:rsidRPr="00401DFB">
        <w:tc>
          <w:tcPr>
            <w:tcW w:w="3969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346" w:rsidRDefault="00827346" w:rsidP="00350E6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46" w:rsidRDefault="0082734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5A84">
        <w:rPr>
          <w:rFonts w:ascii="Times New Roman" w:hAnsi="Times New Roman" w:cs="Times New Roman"/>
          <w:sz w:val="28"/>
          <w:szCs w:val="28"/>
        </w:rPr>
        <w:t>ЗМІСТ</w:t>
      </w:r>
    </w:p>
    <w:p w:rsidR="00827346" w:rsidRDefault="00827346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926"/>
        <w:gridCol w:w="703"/>
      </w:tblGrid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1.Характеристика програми розвитку малого і середнього підприємництва у Первомайському районі на 2015-2016 роки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2.Аналіз розвитку малого і середнього підприємництва у Первомайському районі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3.Проблеми розвитку малого і середнього підприємництва та можливості щодо їх розв’язання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4. Мета та пріоритетні завдання Програми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5. Заходи Програми 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5.1. Упорядкування нормативного регулювання підприємницької діяльності                                                                                                   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5.2. Фінансово-кредитна та інвестиційна підтримка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5.3. Ресурсне та інформаційне забезпечення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5.4. Формування інфраструктури підтримки підприємництва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6. Очікувані показники ефективності реалізації заходів Програми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7.Моніторинг Програми та контроль за реалізацією її заходів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7346" w:rsidRPr="00401DFB">
        <w:tc>
          <w:tcPr>
            <w:tcW w:w="8926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8. Заходи програми розвитку малого і середнього підприємництва у Первомайському районі на 2015-2016 роки</w:t>
            </w:r>
          </w:p>
        </w:tc>
        <w:tc>
          <w:tcPr>
            <w:tcW w:w="703" w:type="dxa"/>
          </w:tcPr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F2776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346" w:rsidRDefault="00827346" w:rsidP="00C156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7346" w:rsidRDefault="00827346" w:rsidP="00C156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ВСТУП</w:t>
      </w:r>
    </w:p>
    <w:p w:rsidR="00827346" w:rsidRDefault="00827346" w:rsidP="00C156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7346" w:rsidRDefault="00827346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  <w:shd w:val="clear" w:color="auto" w:fill="FFFFFF"/>
        </w:rPr>
      </w:pPr>
      <w:r w:rsidRPr="00F8663A">
        <w:rPr>
          <w:sz w:val="29"/>
          <w:szCs w:val="29"/>
          <w:shd w:val="clear" w:color="auto" w:fill="FFFFFF"/>
        </w:rPr>
        <w:t>Головним напрямком політики ринкової трансформації економіки України є створення умов становлення та розвитку національного підприємства, у першу чергу малого і середнього бізнесу. Його місце і роль у структурі ринкової економіки визначаються тим, що цей бізнес становить основу дрібного виробництва. Він відіграє важливу роль у процесі формування ринкової конкуренції рівноваги цін, забезпеченні зайнятос</w:t>
      </w:r>
      <w:r>
        <w:rPr>
          <w:sz w:val="29"/>
          <w:szCs w:val="29"/>
          <w:shd w:val="clear" w:color="auto" w:fill="FFFFFF"/>
        </w:rPr>
        <w:t>ті населення, заповнює ринкові «ніші»</w:t>
      </w:r>
      <w:r w:rsidRPr="00F8663A">
        <w:rPr>
          <w:sz w:val="29"/>
          <w:szCs w:val="29"/>
          <w:shd w:val="clear" w:color="auto" w:fill="FFFFFF"/>
        </w:rPr>
        <w:t>, неефективні для великих підприємств. Незважаючи на те, що малі і середні приватні підприємства постійно стикаються з проблемою захисту своєї економічної незалежності, як дрібні суб</w:t>
      </w:r>
      <w:r>
        <w:rPr>
          <w:sz w:val="29"/>
          <w:szCs w:val="29"/>
          <w:shd w:val="clear" w:color="auto" w:fill="FFFFFF"/>
        </w:rPr>
        <w:t>’</w:t>
      </w:r>
      <w:r w:rsidRPr="00F8663A">
        <w:rPr>
          <w:sz w:val="29"/>
          <w:szCs w:val="29"/>
          <w:shd w:val="clear" w:color="auto" w:fill="FFFFFF"/>
        </w:rPr>
        <w:t>єкти ринку мають досить нетривалий термін ділового існування, в той же час добрих результатів вони досягають саме в спі</w:t>
      </w:r>
      <w:r>
        <w:rPr>
          <w:sz w:val="29"/>
          <w:szCs w:val="29"/>
          <w:shd w:val="clear" w:color="auto" w:fill="FFFFFF"/>
        </w:rPr>
        <w:t>вробітництві з іншими підприємствами</w:t>
      </w:r>
      <w:r w:rsidRPr="00F8663A">
        <w:rPr>
          <w:sz w:val="29"/>
          <w:szCs w:val="29"/>
          <w:shd w:val="clear" w:color="auto" w:fill="FFFFFF"/>
        </w:rPr>
        <w:t>.</w:t>
      </w:r>
    </w:p>
    <w:p w:rsidR="00827346" w:rsidRPr="00F8663A" w:rsidRDefault="00827346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  <w:shd w:val="clear" w:color="auto" w:fill="FFFFFF"/>
        </w:rPr>
      </w:pPr>
      <w:r w:rsidRPr="00F8663A">
        <w:rPr>
          <w:sz w:val="29"/>
          <w:szCs w:val="29"/>
          <w:shd w:val="clear" w:color="auto" w:fill="FFFFFF"/>
        </w:rPr>
        <w:t xml:space="preserve"> Як особливий сектор ринкової економіки мале і середнє підприємництво здійснює швидку окупність витрат, широку свободу ринкового вибору, забезпечує насичення ринку товарами, послугами та додатковими робочими місцями, сприяє послабленню монополізму в економіці.</w:t>
      </w:r>
    </w:p>
    <w:p w:rsidR="00827346" w:rsidRPr="0046334B" w:rsidRDefault="00827346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B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створення сприятливих умов для розвитку підприємницького середовища в  районі, стимулювання інвестиційної та інноваційної активності суб’єктів малого і середнього бізнесу, забезпечення зайнятості населення шляхом підтримки підприємницької ініціативи громадян, сприяння суб’єктам підприємництва у просуванні вироблених ними товарів (робіт, послуг) підготовлено Програму розвитку малого і середнього підприємництва у Первомайському районі на 2015-2016 роки.( далі –Програма).</w:t>
      </w:r>
    </w:p>
    <w:p w:rsidR="00827346" w:rsidRPr="0046334B" w:rsidRDefault="00827346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B">
        <w:rPr>
          <w:sz w:val="28"/>
          <w:szCs w:val="28"/>
        </w:rPr>
        <w:t>Сьогодні саме з малим та середнім підприємництвом держава пов’язує надію на швидкі позитивні структурні зміни в економіці, вихід з економічної кризи та створення умов для розширення впровадження ринкових реформ.</w:t>
      </w:r>
    </w:p>
    <w:p w:rsidR="00827346" w:rsidRDefault="00827346" w:rsidP="00C15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70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70D">
        <w:rPr>
          <w:rFonts w:ascii="Times New Roman" w:hAnsi="Times New Roman" w:cs="Times New Roman"/>
          <w:sz w:val="28"/>
          <w:szCs w:val="28"/>
        </w:rPr>
        <w:t xml:space="preserve"> розвитку малого і середнього підприємництва у Первомайському районі на 2015-2016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 w:rsidRPr="001E170D">
        <w:rPr>
          <w:rFonts w:ascii="Times New Roman" w:hAnsi="Times New Roman" w:cs="Times New Roman"/>
          <w:sz w:val="28"/>
          <w:szCs w:val="28"/>
        </w:rPr>
        <w:t xml:space="preserve"> розроблено відповідно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розвиток та державну підтримку малого і сере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днього підприємництва в Україні»,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Національну програму сприяння розвитку малого підприємни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цтва в Україні»,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засади державної регуляторної політики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сфері господарської діяльності».</w:t>
      </w:r>
    </w:p>
    <w:p w:rsidR="00827346" w:rsidRPr="002C0F27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 розвитку малого і середнього підприємництва у Первомайському районі на 2015-2016 роки є одним із важливих інструментів реалізації </w:t>
      </w:r>
      <w:r w:rsidRPr="002C0F27">
        <w:rPr>
          <w:rFonts w:ascii="Times New Roman" w:hAnsi="Times New Roman" w:cs="Times New Roman"/>
          <w:sz w:val="28"/>
          <w:szCs w:val="28"/>
        </w:rPr>
        <w:t>Державної політики сприяння у розвитку малого і середнього підприємництва. Програма є логічним продовженням попередніх програм розвитку малого та середнього підприємництва та складовою частиною Програми соціального та економічного розвитку Первомайського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на 2015 рік</w:t>
      </w:r>
      <w:r w:rsidRPr="002C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</w:rPr>
        <w:t>У Програмі визначено мету, завдання та шляхи розв’язання проблем у сфері малого і середнього бізнесу, враховуючи показники соціально-економічного розвитку району, зокрема сфери розвитку підприємництва, аналіз основних зовнішніх та внутрішніх чинників, які стримують його розвиток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7346" w:rsidRPr="00D4444D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Прогнозні розрахунки показників розвитку малого і середнього підприємництва розроблені на підставі даних  головного управління статистики у Миколаївській області, управління статистики в Первомайському районі, Первомайської об’єднаної державної податкової інспекції, Первомайського міськрайонного центру зайнятості населення, центру надання адміністративних послуг в Первомайському районі.</w:t>
      </w: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</w:rPr>
        <w:t>Таким чином, зазначена Програма спрямовує зусилля органів публічної влади на створення сприятливих умов для ефективного функціонування підприємницького сектору району.</w:t>
      </w: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Pr="00857BA4" w:rsidRDefault="00827346" w:rsidP="00857BA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7B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Характеристика програми розвитку малого і середнього підприємництва у Первомайському районі на 2015-2016 роки</w:t>
      </w:r>
    </w:p>
    <w:p w:rsidR="00827346" w:rsidRDefault="00827346" w:rsidP="002E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535"/>
        <w:gridCol w:w="2305"/>
        <w:gridCol w:w="2305"/>
      </w:tblGrid>
      <w:tr w:rsidR="00827346" w:rsidRPr="00401DFB">
        <w:tc>
          <w:tcPr>
            <w:tcW w:w="636" w:type="dxa"/>
            <w:vMerge w:val="restart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Загальна характеристика регіону: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 території ( тис.км.кв.) – </w:t>
            </w: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Кількість населення (тис.чол.) – 30,7 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Специфіка – </w:t>
            </w: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сільське господарство та добувна промисловість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Відсоток безробітних до усього працездатного населення (%) -64,68</w:t>
            </w:r>
          </w:p>
        </w:tc>
      </w:tr>
      <w:tr w:rsidR="00827346" w:rsidRPr="00401DFB">
        <w:tc>
          <w:tcPr>
            <w:tcW w:w="636" w:type="dxa"/>
            <w:vMerge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Перелік територій, які належать до: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зон інвестиційної привабливості – с. Мигія, с. Кримка,  с. Куріпчино, с. Грушівка;  ст. Бандурка (бувший бурякопункт);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 xml:space="preserve">територій пріоритетного розвитку – с. Мигія, с. Болеславчик, с. Кінецьпіль; 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євро регіонів -  немає.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затвердження Програми                 (найменування і номер відповідного рішення)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35" w:type="dxa"/>
          </w:tcPr>
          <w:p w:rsidR="00827346" w:rsidRPr="00401DFB" w:rsidRDefault="00827346" w:rsidP="009D011E">
            <w:pPr>
              <w:pStyle w:val="NormalWeb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Головний замовник Програми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Первомайська районна рада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 економічного розвитку, торгівлі та туризму райдержадміністрації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Пріоритетні завдання: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своєчасне інформування суб’єктів підприємництва про зміни в законодавстві;</w:t>
            </w:r>
          </w:p>
          <w:p w:rsidR="00827346" w:rsidRPr="00401DFB" w:rsidRDefault="00827346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усунення адміністративних та організаційних перешкод у започаткуванні підприємницької діяльності та отриманні дозволів;</w:t>
            </w:r>
          </w:p>
          <w:p w:rsidR="00827346" w:rsidRPr="00401DFB" w:rsidRDefault="00827346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підтримка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      </w:r>
          </w:p>
          <w:p w:rsidR="00827346" w:rsidRPr="00401DFB" w:rsidRDefault="00827346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організація підготовки, перепідготовки та підвищення кваліфікації кадрів для суб’єктів малого і середнього підприємництва.</w:t>
            </w:r>
          </w:p>
          <w:p w:rsidR="00827346" w:rsidRPr="00401DFB" w:rsidRDefault="00827346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залучення до зайняття підприємницькою діяльністю соціально незахищених категорій населення ( інвалідів, жінок, молоді)</w:t>
            </w:r>
          </w:p>
          <w:p w:rsidR="00827346" w:rsidRPr="00401DFB" w:rsidRDefault="00827346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сприяння розвитку інфраструктури підтримки малого і середнього підприємництва в районі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Очікувані кінцеві результати від реалізації Програми в динаміці змін цільових показників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Дані  станом на початок дії Програми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(звіт 2014 рік)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показники      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(станом на 01.01.2016)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малих і середніх підприємств на 10 тис. осіб наявного населення (одиниць)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Чисельність працюючих на малих і середніх підприємствах ( осіб)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6.3.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зареєстрованих фізичних осіб підприємців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6.4.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Питома вага малих і середніх підприємств у загальному випуску продукції регіону (%)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6.5.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Надходження до бюджетів від суб’єктів малого і середнього підприємництва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6.6.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суб’єктів інфраструктури підтримки малого і середнього підприємництва ( одиниць):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бізнес-центри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бізнес-інкубатори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технопарки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фінансово-кредитні установи: кредитні спілки, установи взаємного кредитування;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фонди підтримки підприємництва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інвестиційні, інноваційні фонди і компанії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біржі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інформаційно-консультативні установи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страхові компанії</w:t>
            </w:r>
          </w:p>
          <w:p w:rsidR="00827346" w:rsidRPr="00401DFB" w:rsidRDefault="00827346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аудиторські фірми</w:t>
            </w:r>
          </w:p>
          <w:p w:rsidR="00827346" w:rsidRPr="00401DFB" w:rsidRDefault="00827346" w:rsidP="00401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спілка підприємців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Залучення СМП до виконання робіт/послуг за державні кошти – кількість (одиниць)/обсяги (тис. грн)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підприємців, що пройдуть підготовку, перепідготовку та підвищення кваліфікації (осіб)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створених нових робочих місць (одиниць)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0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і етапи реалізації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2015-2016 роки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Районний бюджет, обласний бюджет, кошти підприємців</w:t>
            </w:r>
          </w:p>
        </w:tc>
      </w:tr>
      <w:tr w:rsidR="00827346" w:rsidRPr="00401DFB">
        <w:tc>
          <w:tcPr>
            <w:tcW w:w="636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4535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організації контролю за виконанням Програми</w:t>
            </w:r>
          </w:p>
        </w:tc>
        <w:tc>
          <w:tcPr>
            <w:tcW w:w="4610" w:type="dxa"/>
            <w:gridSpan w:val="2"/>
          </w:tcPr>
          <w:p w:rsidR="00827346" w:rsidRPr="00401DFB" w:rsidRDefault="00827346" w:rsidP="009E7C9D">
            <w:pPr>
              <w:pStyle w:val="NormalWeb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 xml:space="preserve">щоквартальний звіт Департаменту економічного розвитку, торгівлі та туризму  обласної державної адміністрації про хід виконання Програми; </w:t>
            </w:r>
          </w:p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щоквартальний аналіз виконання Програми; звітування перед координаційною радою з питань підтримки підприємництва при райдержадміністрації; заслуховування інформації про хід виконання Програми на колегіях райдержадміністрації, сесії районної ради</w:t>
            </w:r>
          </w:p>
        </w:tc>
      </w:tr>
    </w:tbl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44DB4">
      <w:pPr>
        <w:pStyle w:val="ListParagraph"/>
        <w:numPr>
          <w:ilvl w:val="0"/>
          <w:numId w:val="1"/>
        </w:numPr>
        <w:tabs>
          <w:tab w:val="left" w:pos="3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F88">
        <w:rPr>
          <w:rFonts w:ascii="Times New Roman" w:hAnsi="Times New Roman" w:cs="Times New Roman"/>
          <w:b/>
          <w:bCs/>
          <w:sz w:val="28"/>
          <w:szCs w:val="28"/>
        </w:rPr>
        <w:t>Аналіз розвитку малого і середнього підприємництва у Первомайському районі</w:t>
      </w:r>
    </w:p>
    <w:p w:rsidR="00827346" w:rsidRPr="00AD4F88" w:rsidRDefault="00827346" w:rsidP="00AD4F88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88">
        <w:rPr>
          <w:rFonts w:ascii="Times New Roman" w:hAnsi="Times New Roman" w:cs="Times New Roman"/>
          <w:sz w:val="28"/>
          <w:szCs w:val="28"/>
        </w:rPr>
        <w:t xml:space="preserve">Аналіз стану та розвитку малих підприємств Первомайського району показує </w:t>
      </w:r>
      <w:r>
        <w:rPr>
          <w:rFonts w:ascii="Times New Roman" w:hAnsi="Times New Roman" w:cs="Times New Roman"/>
          <w:sz w:val="28"/>
          <w:szCs w:val="28"/>
        </w:rPr>
        <w:t>їх значний вплив на соціально-економічний розвиток району. Про  динаміку розвитку малого і середнього підприємництва свідчить зростання чи спадання  основних показників, що характеризують цей сегмент економічного розвитку району.</w:t>
      </w: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зареєстрованих малих та середніх суб’єктів підприємницької діяльності, юридичних та фізичних осіб у 2012 році становила 1485 одиниць, що на 14 % більше, ніж у 2013 році (1274 одиниці). Протягом 9 місяців 2014 року в районі працює 1047 одиниць суб’єктів підприємництва.</w:t>
      </w: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Зменшення суб’єктів підприємницької діяльності відбувається головним чином за рахунок зменшення  кількості зареєстрованих фізичних  осіб-підприємців ( за рахунок закриття власної справи).</w:t>
      </w:r>
    </w:p>
    <w:p w:rsidR="00827346" w:rsidRDefault="00827346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Чисельність працюючих на малих та середніх підприємствах Первомайського району за період з 2012 по 2014 рік має тенденцію до зниження. Так, за 2012 рік чисельність склала 6274 чоловік, у 2013 цей показник знизився до 3680 осіб, та у 2014 році склав 3149 осіб.</w:t>
      </w:r>
    </w:p>
    <w:p w:rsidR="00827346" w:rsidRDefault="00827346" w:rsidP="00D975E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до бюджету від малих та середніх суб’єктів підприємницької діяльності юридичних та фізичних осіб у 2012 році складали 39,3 тис.</w:t>
      </w:r>
      <w:r w:rsidRPr="002E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грн., у 2013 році цей показник становив 35,3 тис. грн., та за 9 місяців 2014 року надходження склали 31,3 тис.</w:t>
      </w:r>
      <w:r w:rsidRPr="002E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827346" w:rsidRDefault="00827346" w:rsidP="00D975E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результат об’єктів оподаткування малих і середніх суб’єктів підприємницької діяльності юридичних осіб у 2012 році склав 2035,3 тис. грн., у 2013 цей показник знизився до 1026 тис. грн та за 9 місяців 2014 року склав 950 тис. грн.</w:t>
      </w:r>
    </w:p>
    <w:p w:rsidR="00827346" w:rsidRDefault="00827346" w:rsidP="003A213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останніх років малі та середні підприємства мають негативну динаміку до зростання обсягів реалізованої продукції. У 2012 році суб’єкти малого і середнього підприємництва реалізували товарів, робіт і послуг на загальну суму у 626698 тис. грн. За 2013 рік ця цифра склала 563086,5 тис. грн., тобто на 10% менше, ніж за 2012 рік. Питома вага обсягу реалізованої продукції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(товарів, послуг) </w:t>
      </w:r>
      <w:r>
        <w:rPr>
          <w:rFonts w:ascii="Times New Roman" w:hAnsi="Times New Roman" w:cs="Times New Roman"/>
          <w:sz w:val="28"/>
          <w:szCs w:val="28"/>
        </w:rPr>
        <w:t>у загальному випуску продукції Миколаївської області по малих підприємствах склала 1,9% за 2012 рік та 1,7% за 2013 рік. По середніх підприємствах цей показник становив у 2012 році 2,3% та у 2013 році 2,1%.</w:t>
      </w:r>
    </w:p>
    <w:p w:rsidR="00827346" w:rsidRDefault="00827346" w:rsidP="00D22476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останні роки відбулись позитивні зрушення щодо оплати праці працівників, задіяних у середньому бізнесі. Середньомісячна заробітна плата найманих працівників у 2012 році на малих підприємствах становила 1377 грн і зменшилась на 2,8 % у 2013 році. На середніх підприємствах Первомайського району  середньомісячна заробітна плата у 2013 році склала 2248 грн, що на 15,8% більше, ніж у попередньому році.</w:t>
      </w:r>
    </w:p>
    <w:p w:rsidR="00827346" w:rsidRDefault="00827346" w:rsidP="003A213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дозвільній системі для забезпечення видачі дозвільних документів за принципом «єдиного вікна» виключно через державного адміністратора дозвільного центру вжито необхідних заходів, зокрема: посаду державного адміністратора введено в апарат райдержадміністрації, створено умови для вільного доступу підприємців до інформаційних стендів та для заповнення документів, розміщення дозвільного центру відповідає  вимогам чинного законодавства.</w:t>
      </w:r>
    </w:p>
    <w:p w:rsidR="00827346" w:rsidRDefault="00827346" w:rsidP="00AD2BC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документів дозвільного характеру за принципом «єдиного вікна» мінімізує безпосередні контакти суб’єктів господарювання з дозвільними органами, унеможливлює видачу дозвільних документів поза межами дозвільного центру, значно зменшує витрати підприємців, пов’язані з оформленням документів. Так, за січень-вересень 2014 року за документами дозвільного характеру на здійснення підприємницької діяльності в дозвільний центр району звернулося 57 суб’єктів господарювання. За цей період видано 25 документів дозвільно характеру (в 2013 році цей показник становив 25). Крім того, 84 підприємці отримали консультації безпосередньо у державного адміністратора.</w:t>
      </w:r>
    </w:p>
    <w:p w:rsidR="00827346" w:rsidRDefault="00827346" w:rsidP="002E3D76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здійснення регуляторної діяльності Первомайською районною державною адміністрацією, її структурними підрозділами забезпечується дотримання вимог Закону України «Про засади державної регуляторної політики у сфері господарської діяльності» на всіх етапах підготовки проектів регуляторних актів. Стосовно кожного прийнятого регуляторного акту послідовно здійснюється відстеження його результативності. Так, за період з 2012 по 2014 рік  прийнято 2 регуляторних акти.</w:t>
      </w:r>
    </w:p>
    <w:p w:rsidR="00827346" w:rsidRPr="002E3D76" w:rsidRDefault="00827346" w:rsidP="002E3D7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D76">
        <w:rPr>
          <w:sz w:val="28"/>
          <w:szCs w:val="28"/>
        </w:rPr>
        <w:t>Для ефективного використання суб’єктами підприємницької діяльності наявних ресурсів  постійно оновлюється база інвестиційних проектів, які пропонується для продажу  або передачі в оренду господарюючим суб’єктам. Анкети інвестиційних проектів підприємств району, які можуть бути запропоновані потенційним іноземним та вітчизняним інвесторам розміщено на веб-сайті обласної державної адміністрації.</w:t>
      </w: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реалізації заходів комплексної програми підтримки малого підприємництва на 2012-2014 роки приділяється увага фінансовій підтримці малого підприємництва, а саме: проведено 118 навчальних семінарів для суб’єктів підприємницької діяльності та бажаючих займатись підприємництвом, в яких взяли участь 334 особи. Так, 13 осіб отримали одноразову допомогу по безробіттю для започаткування власної справи.</w:t>
      </w: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D975E7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5E7">
        <w:rPr>
          <w:rFonts w:ascii="Times New Roman" w:hAnsi="Times New Roman" w:cs="Times New Roman"/>
          <w:b/>
          <w:bCs/>
          <w:sz w:val="28"/>
          <w:szCs w:val="28"/>
        </w:rPr>
        <w:t>3.Проблеми розвитку малого і середнього підприємництва та можливості щодо їх розв’язання</w:t>
      </w:r>
    </w:p>
    <w:p w:rsidR="00827346" w:rsidRDefault="00827346" w:rsidP="0041447C">
      <w:pPr>
        <w:tabs>
          <w:tab w:val="left" w:pos="3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346" w:rsidRDefault="00827346" w:rsidP="00C335A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52">
        <w:rPr>
          <w:rFonts w:ascii="Times New Roman" w:hAnsi="Times New Roman" w:cs="Times New Roman"/>
          <w:sz w:val="28"/>
          <w:szCs w:val="28"/>
        </w:rPr>
        <w:t xml:space="preserve">Аналіз розвитку малого і середнього бізнесу в </w:t>
      </w:r>
      <w:r>
        <w:rPr>
          <w:rFonts w:ascii="Times New Roman" w:hAnsi="Times New Roman" w:cs="Times New Roman"/>
          <w:sz w:val="28"/>
          <w:szCs w:val="28"/>
        </w:rPr>
        <w:t>Первомайському районі показує наявність проблем, які стримують подальший розвиток цього сегменту економіки району, до яких належать:</w:t>
      </w:r>
    </w:p>
    <w:p w:rsidR="00827346" w:rsidRPr="005672F7" w:rsidRDefault="00827346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2F7">
        <w:rPr>
          <w:rFonts w:ascii="Times New Roman" w:hAnsi="Times New Roman" w:cs="Times New Roman"/>
          <w:sz w:val="28"/>
          <w:szCs w:val="28"/>
        </w:rPr>
        <w:t>исокі відсоткові ставки на банківські кредити для суб’єктів малого і середнього бізнесу, обмеженість довгострокового кредитування;</w:t>
      </w:r>
    </w:p>
    <w:p w:rsidR="00827346" w:rsidRPr="005672F7" w:rsidRDefault="00827346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изький рівень середньомісячної заробітної плати у малому підприємництві;</w:t>
      </w:r>
    </w:p>
    <w:p w:rsidR="00827346" w:rsidRPr="005672F7" w:rsidRDefault="00827346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2F7">
        <w:rPr>
          <w:rFonts w:ascii="Times New Roman" w:hAnsi="Times New Roman" w:cs="Times New Roman"/>
          <w:sz w:val="28"/>
          <w:szCs w:val="28"/>
        </w:rPr>
        <w:t>ідсутність стимулювання для активного впровадження суб’єктами малого і середнього підприємництва інноваційних технологій, виробництва конкурентоспроможної продукції і послуг;</w:t>
      </w:r>
    </w:p>
    <w:p w:rsidR="00827346" w:rsidRPr="005672F7" w:rsidRDefault="00827346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едостатній рівень роботи об’єктів інфраструктури підтримки підприємництва у питаннях надання допомоги суб’єктом господарювання на початковому етапі діяльності в подоланні труднощів, пов’язаних з відс</w:t>
      </w:r>
      <w:r>
        <w:rPr>
          <w:rFonts w:ascii="Times New Roman" w:hAnsi="Times New Roman" w:cs="Times New Roman"/>
          <w:sz w:val="28"/>
          <w:szCs w:val="28"/>
        </w:rPr>
        <w:t>утністю достатніх знань з питан</w:t>
      </w:r>
      <w:r w:rsidRPr="005672F7">
        <w:rPr>
          <w:rFonts w:ascii="Times New Roman" w:hAnsi="Times New Roman" w:cs="Times New Roman"/>
          <w:sz w:val="28"/>
          <w:szCs w:val="28"/>
        </w:rPr>
        <w:t>ь ведення бізнесу, управлінськог</w:t>
      </w:r>
      <w:r>
        <w:rPr>
          <w:rFonts w:ascii="Times New Roman" w:hAnsi="Times New Roman" w:cs="Times New Roman"/>
          <w:sz w:val="28"/>
          <w:szCs w:val="28"/>
        </w:rPr>
        <w:t>о досвіду;</w:t>
      </w:r>
    </w:p>
    <w:p w:rsidR="00827346" w:rsidRPr="005672F7" w:rsidRDefault="00827346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едостатній кваліфікаційний рівень освіти кадрів, які займаються підприємницькою діяльністю або бажають ро</w:t>
      </w:r>
      <w:r>
        <w:rPr>
          <w:rFonts w:ascii="Times New Roman" w:hAnsi="Times New Roman" w:cs="Times New Roman"/>
          <w:sz w:val="28"/>
          <w:szCs w:val="28"/>
        </w:rPr>
        <w:t>зпочати власну справу у бізнесі;</w:t>
      </w:r>
    </w:p>
    <w:p w:rsidR="00827346" w:rsidRDefault="00827346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еналежне фінансування районних програм підтримки малого підприємництва.</w:t>
      </w:r>
    </w:p>
    <w:p w:rsidR="00827346" w:rsidRDefault="00827346" w:rsidP="00C335A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визначення сильних і слабких сторін малого і середнього підприємництва, а також можливостей і загроз, що стримують розвиток підприємницької діяльності, застосовано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аналізу.</w:t>
      </w:r>
    </w:p>
    <w:p w:rsidR="00827346" w:rsidRDefault="00827346" w:rsidP="00743D2F">
      <w:pPr>
        <w:tabs>
          <w:tab w:val="left" w:pos="3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Таблиця</w:t>
      </w:r>
    </w:p>
    <w:p w:rsidR="00827346" w:rsidRPr="00100294" w:rsidRDefault="00827346" w:rsidP="0010029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94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100294">
        <w:rPr>
          <w:rFonts w:ascii="Times New Roman" w:hAnsi="Times New Roman" w:cs="Times New Roman"/>
          <w:b/>
          <w:bCs/>
          <w:sz w:val="28"/>
          <w:szCs w:val="28"/>
        </w:rPr>
        <w:t xml:space="preserve"> аналіз розвитку підприємницького середовища малого і середнього бізнесу</w:t>
      </w:r>
    </w:p>
    <w:p w:rsidR="00827346" w:rsidRDefault="00827346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784"/>
        <w:gridCol w:w="4786"/>
      </w:tblGrid>
      <w:tr w:rsidR="00827346" w:rsidRPr="00401DFB">
        <w:trPr>
          <w:trHeight w:val="495"/>
        </w:trPr>
        <w:tc>
          <w:tcPr>
            <w:tcW w:w="9570" w:type="dxa"/>
            <w:gridSpan w:val="3"/>
            <w:vAlign w:val="center"/>
          </w:tcPr>
          <w:p w:rsidR="00827346" w:rsidRPr="00401DFB" w:rsidRDefault="00827346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>АНАЛІЗ Внутрішніх чинників: сильні та слабкі сторони</w:t>
            </w:r>
          </w:p>
        </w:tc>
      </w:tr>
      <w:tr w:rsidR="00827346" w:rsidRPr="00401DFB">
        <w:trPr>
          <w:trHeight w:val="271"/>
        </w:trPr>
        <w:tc>
          <w:tcPr>
            <w:tcW w:w="4784" w:type="dxa"/>
            <w:gridSpan w:val="2"/>
            <w:vAlign w:val="center"/>
          </w:tcPr>
          <w:p w:rsidR="00827346" w:rsidRPr="00401DFB" w:rsidRDefault="00827346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Сильні сторони (Strengths)</w:t>
            </w:r>
          </w:p>
        </w:tc>
        <w:tc>
          <w:tcPr>
            <w:tcW w:w="4786" w:type="dxa"/>
            <w:vAlign w:val="center"/>
          </w:tcPr>
          <w:p w:rsidR="00827346" w:rsidRPr="00401DFB" w:rsidRDefault="00827346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Слабкі сторони  (Weaknesses)</w:t>
            </w:r>
          </w:p>
        </w:tc>
      </w:tr>
      <w:tr w:rsidR="00827346" w:rsidRPr="00401DFB">
        <w:trPr>
          <w:gridBefore w:val="1"/>
        </w:trPr>
        <w:tc>
          <w:tcPr>
            <w:tcW w:w="4784" w:type="dxa"/>
          </w:tcPr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 xml:space="preserve">Зручне географічне розташування (поруч залізниця, та два автошляхи державного значення); 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вільних трудових ресурсів;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Здійснення органами влади постійного відкритого діалогу із субєктами господарювання на засадах «Влада і бізнес- партнери;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Забезпечення прозорості та відкритості регуляторної політики;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Запровадження у реєстраційно- дозвільній системі принципу «єдиного вікна», що сприяє у спрощенні ведення бізнесу;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Розгалужена мережа банківських та інших фінансово-кредитних установ;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Потужний потенціал туристичної галузі;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Сприятлива екологічна ситуація;</w:t>
            </w:r>
          </w:p>
          <w:p w:rsidR="00827346" w:rsidRPr="00401DFB" w:rsidRDefault="00827346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Значна питома вага обсягів продукції (робіт і послуг), реалізованих малими і середніми підприємствами в загальних обсягах реалізованої продукції підприємствами району.</w:t>
            </w:r>
          </w:p>
        </w:tc>
        <w:tc>
          <w:tcPr>
            <w:tcW w:w="4786" w:type="dxa"/>
          </w:tcPr>
          <w:p w:rsidR="00827346" w:rsidRPr="00401DFB" w:rsidRDefault="00827346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Невисокий рівень розвитку малого і середнього підприємництва;</w:t>
            </w:r>
          </w:p>
          <w:p w:rsidR="00827346" w:rsidRPr="00401DFB" w:rsidRDefault="00827346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Потребує  удосконалення  система кредитування малого і середнього бізнесу, зокрема  обмеженість  довгострокового кредитування,  що  стримує  розвиток виробничої сфери, труднощі з одержанням</w:t>
            </w:r>
          </w:p>
          <w:p w:rsidR="00827346" w:rsidRPr="00401DFB" w:rsidRDefault="00827346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зовнішнього фінансування через високі відсоткові ставки на банківські кредити.</w:t>
            </w:r>
          </w:p>
          <w:p w:rsidR="00827346" w:rsidRPr="00401DFB" w:rsidRDefault="00827346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Недостатній рівень інформаційного та методичного забезпечення підприємців.</w:t>
            </w:r>
          </w:p>
          <w:p w:rsidR="00827346" w:rsidRPr="00401DFB" w:rsidRDefault="00827346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«тіньової» діяльності суб'єктів</w:t>
            </w:r>
          </w:p>
          <w:p w:rsidR="00827346" w:rsidRPr="00401DFB" w:rsidRDefault="00827346" w:rsidP="007E6700">
            <w:pPr>
              <w:pStyle w:val="ListParagraph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підприємництва;</w:t>
            </w:r>
          </w:p>
          <w:p w:rsidR="00827346" w:rsidRPr="00401DFB" w:rsidRDefault="00827346" w:rsidP="00363CC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Відсутні  стимулюючі  фактори  для активного впровадження суб’єктами малого середнього підприємництва передових технологій та інноваційного виробництва, виробництва  конкурентоспроможної продукції і послуг;</w:t>
            </w:r>
          </w:p>
          <w:p w:rsidR="00827346" w:rsidRPr="00401DFB" w:rsidRDefault="00827346" w:rsidP="00363CC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Недостатній рівень освіти підприємців з питань  сучасних  методів  та  форм організації господарювання.</w:t>
            </w:r>
          </w:p>
          <w:p w:rsidR="00827346" w:rsidRPr="00401DFB" w:rsidRDefault="00827346" w:rsidP="00363CC4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6" w:rsidRPr="00401DFB">
        <w:trPr>
          <w:gridBefore w:val="1"/>
        </w:trPr>
        <w:tc>
          <w:tcPr>
            <w:tcW w:w="4784" w:type="dxa"/>
          </w:tcPr>
          <w:p w:rsidR="00827346" w:rsidRPr="00401DFB" w:rsidRDefault="00827346" w:rsidP="0006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Можливості (Opportunities)</w:t>
            </w:r>
          </w:p>
        </w:tc>
        <w:tc>
          <w:tcPr>
            <w:tcW w:w="4786" w:type="dxa"/>
          </w:tcPr>
          <w:p w:rsidR="00827346" w:rsidRPr="00401DFB" w:rsidRDefault="00827346" w:rsidP="0006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Загрози (Threats)</w:t>
            </w:r>
          </w:p>
        </w:tc>
      </w:tr>
      <w:tr w:rsidR="00827346" w:rsidRPr="00401DFB">
        <w:trPr>
          <w:gridBefore w:val="1"/>
        </w:trPr>
        <w:tc>
          <w:tcPr>
            <w:tcW w:w="4784" w:type="dxa"/>
          </w:tcPr>
          <w:p w:rsidR="00827346" w:rsidRPr="00401DFB" w:rsidRDefault="00827346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Створення  сучасних  елементів</w:t>
            </w:r>
          </w:p>
          <w:p w:rsidR="00827346" w:rsidRPr="00401DFB" w:rsidRDefault="00827346" w:rsidP="005B0DD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інфраструктури підтримки підприємництва бізнес-інкубаторів,  індустріальних  і технологічних парків;</w:t>
            </w:r>
          </w:p>
          <w:p w:rsidR="00827346" w:rsidRPr="00401DFB" w:rsidRDefault="00827346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Розширення інформаційної та ресурсної підтримки  малого  і  середнього підприємництва;</w:t>
            </w:r>
          </w:p>
          <w:p w:rsidR="00827346" w:rsidRPr="00401DFB" w:rsidRDefault="00827346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Значні  природні,  водні,  рекреаційні ресурси району;</w:t>
            </w:r>
          </w:p>
          <w:p w:rsidR="00827346" w:rsidRPr="00401DFB" w:rsidRDefault="00827346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Фінансування  інвестиційних  проектів суб’єктів  малого  і  середнього підприємництва  на  зворотній  або безповоротній  основі,  здешевлення банківського кредитування для суб’єктів малого  підприємництва  (часткова компенсація відсотків за кредити);</w:t>
            </w:r>
          </w:p>
          <w:p w:rsidR="00827346" w:rsidRPr="00401DFB" w:rsidRDefault="00827346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Формування стимулюючих механізмів підтримки малого і середнього бізнесу шляхом надання пільг з податків і зборів.</w:t>
            </w:r>
          </w:p>
        </w:tc>
        <w:tc>
          <w:tcPr>
            <w:tcW w:w="4786" w:type="dxa"/>
          </w:tcPr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Низький  рівень  безпеки  бізнесу (рейдерство);</w:t>
            </w:r>
          </w:p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Міграція висококваліфікованих кадрів;</w:t>
            </w:r>
          </w:p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Недостатня підтримка інноваційного та науково-технічного розвитку;</w:t>
            </w:r>
          </w:p>
          <w:p w:rsidR="00827346" w:rsidRPr="00401DFB" w:rsidRDefault="00827346" w:rsidP="002E3D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Висока,  економічно  обтяжлива  для малого та середнього бізнесу вартість землі, нерухомості, орендної плати;</w:t>
            </w:r>
          </w:p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бар’єрів із входження суб’єктів малого та середнього підприємництва в інноваційні процеси (у т.ч. через високу вартість  та  тривалість  окупності нововведень, високі економічні ризики, проблеми  організаційного  характеру, нерозвиненість ринку технологій, недоліки нормативно-правової  бази  інноваційної діяльності, низький попит на вітчизняну інноваційну продукцію, недостатній рівень підготовки технічного та управлінського персоналу; недоступність інформації про нові  технології,  що  мають  потенціал комерціалізації);</w:t>
            </w:r>
          </w:p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Низька  купівельна  спроможність населення;</w:t>
            </w:r>
          </w:p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Відсутність системи стимулювання малого бізнесу на районному рівні;</w:t>
            </w:r>
          </w:p>
          <w:p w:rsidR="00827346" w:rsidRPr="00401DFB" w:rsidRDefault="00827346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Недостатнє фінансування районним бюджетом заходів програми розвитку підприємництва;</w:t>
            </w:r>
          </w:p>
          <w:p w:rsidR="00827346" w:rsidRPr="00401DFB" w:rsidRDefault="00827346" w:rsidP="003C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10.Брак кваліфікованої робочої сили певних професій (невідповідність між попитом і пропозицією на місцевому ринку праці).</w:t>
            </w:r>
          </w:p>
        </w:tc>
      </w:tr>
    </w:tbl>
    <w:p w:rsidR="00827346" w:rsidRDefault="00827346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group id="Группа 3" o:spid="_x0000_s1026" style="position:absolute;margin-left:-13.85pt;margin-top:-37.2pt;width:515.25pt;height:537pt;z-index:251658240;mso-position-horizontal-relative:margin" coordorigin="437,5267" coordsize="11252,8761">
            <v:roundrect id="AutoShape 3" o:spid="_x0000_s1027" style="position:absolute;left:3449;top:5267;width:5580;height:844;visibility:visible" arcsize="10923f" fillcolor="yellow" strokeweight="3pt">
              <v:stroke linestyle="thinThin"/>
            </v:round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4" o:spid="_x0000_s1028" type="#_x0000_t93" style="position:absolute;left:4079;top:6286;width:1440;height:458;rotation:9704513fd;visibility:visible" fillcolor="yellow"/>
            <v:roundrect id="AutoShape 7" o:spid="_x0000_s1029" style="position:absolute;left:2274;top:13110;width:8100;height:918;visibility:visible" arcsize="10923f" fillcolor="yellow" strokeweight="3pt">
              <v:stroke linestyle="thinThin"/>
            </v:roundrect>
            <v:line id="Line 8" o:spid="_x0000_s1030" style="position:absolute;flip:x;visibility:visible" from="1238,7794" to="2138,8514" o:connectortype="straight">
              <v:stroke endarrow="block"/>
            </v:line>
            <v:line id="Line 9" o:spid="_x0000_s1031" style="position:absolute;visibility:visible" from="3218,7794" to="3218,8514" o:connectortype="straight">
              <v:stroke endarrow="block"/>
            </v:line>
            <v:line id="Line 10" o:spid="_x0000_s1032" style="position:absolute;visibility:visible" from="4478,7794" to="5018,8514" o:connectortype="straight">
              <v:stroke endarrow="block"/>
            </v:line>
            <v:line id="Line 11" o:spid="_x0000_s1033" style="position:absolute;flip:x;visibility:visible" from="7178,7794" to="7718,8514" o:connectortype="straight">
              <v:stroke endarrow="block"/>
            </v:line>
            <v:line id="Line 12" o:spid="_x0000_s1034" style="position:absolute;visibility:visible" from="8978,7794" to="8978,8514" o:connectortype="straight">
              <v:stroke endarrow="block"/>
            </v:line>
            <v:line id="Line 13" o:spid="_x0000_s1035" style="position:absolute;visibility:visible" from="10058,7794" to="10598,8514" o:connectortype="straight">
              <v:stroke endarrow="block"/>
            </v:lin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4" o:spid="_x0000_s1036" type="#_x0000_t21" style="position:absolute;left:1238;top:10968;width:3960;height:1166;visibility:visible" fillcolor="#cfc"/>
            <v:shape id="AutoShape 15" o:spid="_x0000_s1037" type="#_x0000_t21" style="position:absolute;left:6926;top:10979;width:4032;height:1166;visibility:visible" fillcolor="#cfc"/>
            <v:line id="Line 16" o:spid="_x0000_s1038" style="position:absolute;visibility:visible" from="3218,10058" to="3218,10903" o:connectortype="straight">
              <v:stroke startarrow="block" endarrow="block"/>
            </v:line>
            <v:line id="Line 17" o:spid="_x0000_s1039" style="position:absolute;flip:x;visibility:visible" from="4595,10079" to="5018,10924" o:connectortype="straight">
              <v:stroke startarrow="block" endarrow="block"/>
            </v:line>
            <v:shape id="AutoShape 18" o:spid="_x0000_s1040" type="#_x0000_t93" style="position:absolute;left:7230;top:6273;width:1440;height:458;rotation:9704513fd;flip:x;visibility:visible" fillcolor="yellow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left:437;top:8562;width:1800;height:1440;visibility:visible" fillcolor="#cff">
              <v:textbox>
                <w:txbxContent>
                  <w:p w:rsidR="00827346" w:rsidRPr="00F0506A" w:rsidRDefault="00827346" w:rsidP="00C335A4">
                    <w:pPr>
                      <w:jc w:val="center"/>
                    </w:pPr>
                    <w:r w:rsidRPr="00F0506A">
                      <w:t>Фінансово-кредитне та інвестиційне забезпечення</w:t>
                    </w:r>
                  </w:p>
                </w:txbxContent>
              </v:textbox>
            </v:shape>
            <v:shape id="Text Box 20" o:spid="_x0000_s1042" type="#_x0000_t202" style="position:absolute;left:2421;top:8569;width:1721;height:1543;visibility:visible" fillcolor="#cff">
              <v:textbox>
                <w:txbxContent>
                  <w:p w:rsidR="00827346" w:rsidRPr="00F0506A" w:rsidRDefault="00827346" w:rsidP="00C335A4">
                    <w:pPr>
                      <w:jc w:val="center"/>
                    </w:pPr>
                    <w:r w:rsidRPr="00F0506A">
                      <w:t>Забезпечення підготовки та підвищення кваліфікацій-них кадрів</w:t>
                    </w:r>
                  </w:p>
                </w:txbxContent>
              </v:textbox>
            </v:shape>
            <v:shape id="Text Box 21" o:spid="_x0000_s1043" type="#_x0000_t202" style="position:absolute;left:4217;top:8562;width:1620;height:1440;visibility:visible" fillcolor="#cff">
              <v:textbox>
                <w:txbxContent>
                  <w:p w:rsidR="00827346" w:rsidRPr="001023E6" w:rsidRDefault="00827346" w:rsidP="00C335A4">
                    <w:pPr>
                      <w:jc w:val="center"/>
                    </w:pPr>
                    <w:r w:rsidRPr="001023E6">
                      <w:t>Залучення бюджетних, грантових, благодійних коштів</w:t>
                    </w:r>
                  </w:p>
                </w:txbxContent>
              </v:textbox>
            </v:shape>
            <v:shape id="Text Box 22" o:spid="_x0000_s1044" type="#_x0000_t202" style="position:absolute;left:6175;top:8551;width:1800;height:1540;visibility:visible" fillcolor="#cff">
              <v:textbox>
                <w:txbxContent>
                  <w:p w:rsidR="00827346" w:rsidRPr="001023E6" w:rsidRDefault="00827346" w:rsidP="00C335A4">
                    <w:pPr>
                      <w:jc w:val="center"/>
                    </w:pPr>
                    <w:r w:rsidRPr="001023E6">
                      <w:t>Впорядкування нормативного регулювання підприємниць-кої діяльності</w:t>
                    </w:r>
                  </w:p>
                </w:txbxContent>
              </v:textbox>
            </v:shape>
            <v:shape id="Text Box 23" o:spid="_x0000_s1045" type="#_x0000_t202" style="position:absolute;left:8151;top:8557;width:1620;height:1478;visibility:visible" fillcolor="#cff">
              <v:textbox>
                <w:txbxContent>
                  <w:p w:rsidR="00827346" w:rsidRPr="00A62BAE" w:rsidRDefault="00827346" w:rsidP="00C335A4">
                    <w:pPr>
                      <w:jc w:val="center"/>
                    </w:pPr>
                    <w:r w:rsidRPr="00A62BAE">
                      <w:t>Ресурсне та інформацій</w:t>
                    </w:r>
                    <w:r w:rsidRPr="00A62BAE">
                      <w:rPr>
                        <w:spacing w:val="-8"/>
                      </w:rPr>
                      <w:t>не забезпечення</w:t>
                    </w:r>
                  </w:p>
                </w:txbxContent>
              </v:textbox>
            </v:shape>
            <v:shape id="Text Box 24" o:spid="_x0000_s1046" type="#_x0000_t202" style="position:absolute;left:9889;top:8562;width:1800;height:1478;visibility:visible" fillcolor="#cff">
              <v:textbox>
                <w:txbxContent>
                  <w:p w:rsidR="00827346" w:rsidRPr="00B448B9" w:rsidRDefault="00827346" w:rsidP="00C335A4">
                    <w:pPr>
                      <w:jc w:val="center"/>
                    </w:pPr>
                    <w:r w:rsidRPr="00B448B9">
                      <w:t>Забезпечення інфраструктури підтримки під-приємництва</w:t>
                    </w:r>
                  </w:p>
                </w:txbxContent>
              </v:textbox>
            </v:shape>
            <v:line id="Line 25" o:spid="_x0000_s1047" style="position:absolute;visibility:visible" from="1238,10064" to="1661,10909" o:connectortype="straight">
              <v:stroke startarrow="block" endarrow="block"/>
            </v:line>
            <v:line id="Line 26" o:spid="_x0000_s1048" style="position:absolute;visibility:visible" from="8938,10091" to="8938,10936" o:connectortype="straight">
              <v:stroke startarrow="block" endarrow="block"/>
            </v:line>
            <v:line id="Line 27" o:spid="_x0000_s1049" style="position:absolute;flip:x;visibility:visible" from="10315,10112" to="10738,10957" o:connectortype="straight">
              <v:stroke startarrow="block" endarrow="block"/>
            </v:line>
            <v:line id="Line 28" o:spid="_x0000_s1050" style="position:absolute;visibility:visible" from="6958,10097" to="7381,10942" o:connectortype="straight">
              <v:stroke startarrow="block" endarrow="block"/>
            </v:line>
            <v:shape id="Text Box 29" o:spid="_x0000_s1051" type="#_x0000_t202" style="position:absolute;left:1756;top:11100;width:2880;height:900;visibility:visible" fillcolor="#cff" stroked="f">
              <v:textbox>
                <w:txbxContent>
                  <w:p w:rsidR="00827346" w:rsidRPr="00B811FB" w:rsidRDefault="00827346" w:rsidP="00C335A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t>ПОКРАЩЕННЯ</w:t>
                    </w:r>
                  </w:p>
                  <w:p w:rsidR="00827346" w:rsidRDefault="00827346" w:rsidP="00C335A4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БІЗНЕ</w:t>
                    </w: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t>С-КЛІМАТУ</w:t>
                    </w:r>
                  </w:p>
                </w:txbxContent>
              </v:textbox>
            </v:shape>
            <v:shape id="Text Box 30" o:spid="_x0000_s1052" type="#_x0000_t202" style="position:absolute;left:7325;top:11019;width:3251;height:1080;visibility:visible" fillcolor="#cff" stroked="f">
              <v:textbox>
                <w:txbxContent>
                  <w:p w:rsidR="00827346" w:rsidRPr="0055675D" w:rsidRDefault="00827346" w:rsidP="00C335A4">
                    <w:pPr>
                      <w:jc w:val="center"/>
                    </w:pP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t>ПІДТРИМКА</w:t>
                    </w: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br/>
                      <w:t>ПІДПРИЄМНИЦЬКОЇ ДІЯЛЬНОСТІ</w:t>
                    </w:r>
                  </w:p>
                </w:txbxContent>
              </v:textbox>
            </v:shape>
            <v:shape id="AutoShape 31" o:spid="_x0000_s1053" type="#_x0000_t93" style="position:absolute;left:2858;top:12409;width:1440;height:458;rotation:9704513fd;flip:x;visibility:visible" fillcolor="yellow"/>
            <v:shape id="AutoShape 32" o:spid="_x0000_s1054" type="#_x0000_t93" style="position:absolute;left:7898;top:12409;width:1440;height:458;rotation:9704513fd;visibility:visible" fillcolor="yellow"/>
            <v:shape id="Text Box 33" o:spid="_x0000_s1055" type="#_x0000_t202" style="position:absolute;left:4478;top:13179;width:3780;height:812;visibility:visible" fillcolor="yellow" stroked="f">
              <v:textbox>
                <w:txbxContent>
                  <w:p w:rsidR="00827346" w:rsidRPr="00D31862" w:rsidRDefault="00827346" w:rsidP="00C335A4">
                    <w:pPr>
                      <w:jc w:val="center"/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 w:rsidRPr="00D31862"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  <w:t xml:space="preserve">СТРАТЕГІЯ РОЗВИТКУ </w:t>
                    </w:r>
                  </w:p>
                  <w:p w:rsidR="00827346" w:rsidRPr="00D31862" w:rsidRDefault="00827346" w:rsidP="00C335A4">
                    <w:pPr>
                      <w:jc w:val="center"/>
                      <w:rPr>
                        <w:color w:val="0000FF"/>
                      </w:rPr>
                    </w:pPr>
                    <w:r w:rsidRPr="00D31862"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  <w:t>МАЛОГО БІЗНЕСУ</w:t>
                    </w:r>
                  </w:p>
                </w:txbxContent>
              </v:textbox>
            </v:shape>
            <v:shape id="Text Box 34" o:spid="_x0000_s1056" type="#_x0000_t202" style="position:absolute;left:1283;top:6853;width:4330;height:801;visibility:visible" fillcolor="#cff" stroked="f">
              <v:textbox>
                <w:txbxContent>
                  <w:p w:rsidR="00827346" w:rsidRDefault="00827346" w:rsidP="00C335A4">
                    <w:r w:rsidRPr="00592898">
                      <w:rPr>
                        <w:sz w:val="28"/>
                        <w:szCs w:val="28"/>
                      </w:rPr>
                      <w:t>Фінансове забезпечення</w:t>
                    </w:r>
                  </w:p>
                </w:txbxContent>
              </v:textbox>
            </v:shape>
            <v:line id="Line 35" o:spid="_x0000_s1057" style="position:absolute;visibility:visible" from="1609,7265" to="5029,7265" o:connectortype="straight"/>
            <v:shape id="Text Box 37" o:spid="_x0000_s1058" type="#_x0000_t202" style="position:absolute;left:6951;top:6853;width:4084;height:719;visibility:visible" fillcolor="#cff" stroked="f">
              <v:textbox>
                <w:txbxContent>
                  <w:p w:rsidR="00827346" w:rsidRPr="0054606E" w:rsidRDefault="00827346" w:rsidP="00C335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92898">
                      <w:rPr>
                        <w:sz w:val="28"/>
                        <w:szCs w:val="28"/>
                      </w:rPr>
                      <w:t>Організаційне забезпечення</w:t>
                    </w:r>
                  </w:p>
                </w:txbxContent>
              </v:textbox>
            </v:shape>
            <v:line id="Line 38" o:spid="_x0000_s1059" style="position:absolute;visibility:visible" from="7090,7243" to="10870,7243" o:connectortype="straight"/>
            <v:shape id="Text Box 40" o:spid="_x0000_s1060" type="#_x0000_t202" style="position:absolute;left:3888;top:5301;width:4680;height:712;visibility:visible" fillcolor="yellow" stroked="f">
              <v:textbox>
                <w:txbxContent>
                  <w:p w:rsidR="00827346" w:rsidRPr="0054606E" w:rsidRDefault="00827346" w:rsidP="00C335A4">
                    <w:pPr>
                      <w:jc w:val="center"/>
                    </w:pPr>
                    <w:r w:rsidRPr="00592898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Розвиток малого підприємництва</w:t>
                    </w:r>
                  </w:p>
                </w:txbxContent>
              </v:textbox>
            </v:shape>
            <w10:wrap anchorx="margin"/>
          </v:group>
        </w:pict>
      </w: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Pr="0090436A" w:rsidRDefault="00827346" w:rsidP="0090436A">
      <w:pPr>
        <w:rPr>
          <w:rFonts w:ascii="Times New Roman" w:hAnsi="Times New Roman" w:cs="Times New Roman"/>
          <w:sz w:val="24"/>
          <w:szCs w:val="24"/>
        </w:rPr>
      </w:pPr>
    </w:p>
    <w:p w:rsidR="00827346" w:rsidRDefault="00827346" w:rsidP="0090436A">
      <w:pPr>
        <w:pStyle w:val="ListParagraph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36A">
        <w:rPr>
          <w:rFonts w:ascii="Times New Roman" w:hAnsi="Times New Roman" w:cs="Times New Roman"/>
          <w:b/>
          <w:bCs/>
          <w:sz w:val="28"/>
          <w:szCs w:val="28"/>
        </w:rPr>
        <w:t>Мета та пріоритетні завдання програми</w:t>
      </w:r>
    </w:p>
    <w:p w:rsidR="00827346" w:rsidRDefault="00827346" w:rsidP="00904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46" w:rsidRDefault="00827346" w:rsidP="0090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36A">
        <w:rPr>
          <w:rFonts w:ascii="Times New Roman" w:hAnsi="Times New Roman" w:cs="Times New Roman"/>
          <w:b/>
          <w:bCs/>
          <w:sz w:val="28"/>
          <w:szCs w:val="28"/>
        </w:rPr>
        <w:t>Метою програми є: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діяльності.</w:t>
      </w:r>
    </w:p>
    <w:p w:rsidR="00827346" w:rsidRDefault="00827346" w:rsidP="0090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мети було поставлено наступні завдання:</w:t>
      </w:r>
    </w:p>
    <w:p w:rsidR="00827346" w:rsidRPr="0090436A" w:rsidRDefault="00827346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436A">
        <w:rPr>
          <w:rFonts w:ascii="Times New Roman" w:hAnsi="Times New Roman" w:cs="Times New Roman"/>
          <w:sz w:val="28"/>
          <w:szCs w:val="28"/>
        </w:rPr>
        <w:t>воєчасне інформування суб’єктів підприємництва про зміни в законодавстві;</w:t>
      </w:r>
    </w:p>
    <w:p w:rsidR="00827346" w:rsidRPr="0090436A" w:rsidRDefault="00827346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436A">
        <w:rPr>
          <w:rFonts w:ascii="Times New Roman" w:hAnsi="Times New Roman" w:cs="Times New Roman"/>
          <w:sz w:val="28"/>
          <w:szCs w:val="28"/>
        </w:rPr>
        <w:t xml:space="preserve">сунення адміністративних та організаційних перешкод у започаткуванні підприємницької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90436A">
        <w:rPr>
          <w:rFonts w:ascii="Times New Roman" w:hAnsi="Times New Roman" w:cs="Times New Roman"/>
          <w:sz w:val="28"/>
          <w:szCs w:val="28"/>
        </w:rPr>
        <w:t>;</w:t>
      </w:r>
    </w:p>
    <w:p w:rsidR="00827346" w:rsidRPr="0090436A" w:rsidRDefault="00827346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436A">
        <w:rPr>
          <w:rFonts w:ascii="Times New Roman" w:hAnsi="Times New Roman" w:cs="Times New Roman"/>
          <w:sz w:val="28"/>
          <w:szCs w:val="28"/>
        </w:rPr>
        <w:t>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</w:r>
    </w:p>
    <w:p w:rsidR="00827346" w:rsidRPr="0090436A" w:rsidRDefault="00827346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436A">
        <w:rPr>
          <w:rFonts w:ascii="Times New Roman" w:hAnsi="Times New Roman" w:cs="Times New Roman"/>
          <w:sz w:val="28"/>
          <w:szCs w:val="28"/>
        </w:rPr>
        <w:t>рганізація підготовки, перепідготовки та підвищення кваліфікації кадрів для суб’єктів малого і середнього</w:t>
      </w:r>
      <w:r>
        <w:rPr>
          <w:rFonts w:ascii="Times New Roman" w:hAnsi="Times New Roman" w:cs="Times New Roman"/>
          <w:sz w:val="28"/>
          <w:szCs w:val="28"/>
        </w:rPr>
        <w:t xml:space="preserve"> підприємництва;</w:t>
      </w:r>
    </w:p>
    <w:p w:rsidR="00827346" w:rsidRPr="0090436A" w:rsidRDefault="00827346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0436A">
        <w:rPr>
          <w:rFonts w:ascii="Times New Roman" w:hAnsi="Times New Roman" w:cs="Times New Roman"/>
          <w:spacing w:val="-2"/>
          <w:sz w:val="28"/>
          <w:szCs w:val="28"/>
        </w:rPr>
        <w:t>алучення до зайняття підприємницькою діяльністю соціально незахищених категорій населення ( інвалідів, жінок, молоді)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Default="00827346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0436A">
        <w:rPr>
          <w:rFonts w:ascii="Times New Roman" w:hAnsi="Times New Roman" w:cs="Times New Roman"/>
          <w:spacing w:val="-2"/>
          <w:sz w:val="28"/>
          <w:szCs w:val="28"/>
        </w:rPr>
        <w:t>прияння розвитку інфраструктури підтримки малого і середнього підприємництва в районі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Default="00827346" w:rsidP="002640EC">
      <w:pPr>
        <w:pStyle w:val="ListParagraph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2640EC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Заходи Програми відповідно до пріоритетних завдань за напрямами підтримки малого і середнього підприємництва</w:t>
      </w:r>
    </w:p>
    <w:p w:rsidR="00827346" w:rsidRPr="002640EC" w:rsidRDefault="00827346" w:rsidP="002640E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Для  реалізації  пріоритетних  завдань  з  </w:t>
      </w:r>
      <w:r>
        <w:rPr>
          <w:rFonts w:ascii="Times New Roman" w:hAnsi="Times New Roman" w:cs="Times New Roman"/>
          <w:spacing w:val="-2"/>
          <w:sz w:val="28"/>
          <w:szCs w:val="28"/>
        </w:rPr>
        <w:t>розвитку  малого  і  середнього підприємництва  в  районі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  буде  здійснено  компл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екс  заходів,  що  забезпечать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поліпшення  економічних  показників  фінан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сово-господарської  діяльності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малого  і  середнього  підприємн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ицтва,  підвищення  його  рівня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конкурентоспроможності,  збільшення внеску  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алих і середніх підприємств  у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вирішення  проблем  зайнятості  населення  і 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повнення  бюджетів  територій,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створення  нових  робочих  місць,  сприятимут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ь  насиченню  ринку  споживчих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товарів та послуг, підвищенню підприємницької культури населення. </w:t>
      </w:r>
    </w:p>
    <w:p w:rsidR="00827346" w:rsidRPr="002640EC" w:rsidRDefault="00827346" w:rsidP="003D7570">
      <w:pPr>
        <w:spacing w:after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spacing w:val="-2"/>
          <w:sz w:val="28"/>
          <w:szCs w:val="28"/>
        </w:rPr>
        <w:t>Основними  напрямами  пі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дтримки  малого  і  середнього 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підприємництва  є:</w:t>
      </w:r>
    </w:p>
    <w:p w:rsidR="00827346" w:rsidRPr="002640EC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упорядкування  нормативного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регулювання  підприємницької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діяльності;</w:t>
      </w:r>
    </w:p>
    <w:p w:rsidR="00827346" w:rsidRPr="002640EC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5.2.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фінансово-кредитна та інвестиційна підтримка;</w:t>
      </w:r>
    </w:p>
    <w:p w:rsidR="00827346" w:rsidRPr="002640EC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5.3.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ресурсне та інформаційне забезпечення;</w:t>
      </w:r>
    </w:p>
    <w:p w:rsidR="00827346" w:rsidRDefault="00827346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5.4.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формування інфраструктури підтримки підприємництва.</w:t>
      </w:r>
    </w:p>
    <w:p w:rsidR="00827346" w:rsidRDefault="00827346" w:rsidP="002640EC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0820B4" w:rsidRDefault="00827346" w:rsidP="000820B4">
      <w:pPr>
        <w:pStyle w:val="ListParagraph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820B4">
        <w:rPr>
          <w:rFonts w:ascii="Times New Roman" w:hAnsi="Times New Roman" w:cs="Times New Roman"/>
          <w:b/>
          <w:bCs/>
          <w:spacing w:val="-2"/>
          <w:sz w:val="28"/>
          <w:szCs w:val="28"/>
        </w:rPr>
        <w:t>Упорядкування нормативного регулювання  підприємницької</w:t>
      </w:r>
    </w:p>
    <w:p w:rsidR="00827346" w:rsidRPr="003D7570" w:rsidRDefault="00827346" w:rsidP="003D7570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b/>
          <w:bCs/>
          <w:spacing w:val="-2"/>
          <w:sz w:val="28"/>
          <w:szCs w:val="28"/>
        </w:rPr>
        <w:t>діяльності</w:t>
      </w:r>
    </w:p>
    <w:p w:rsidR="00827346" w:rsidRDefault="00827346" w:rsidP="003D757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>Даний  розділ  Програми,  розроблено  для  удосконалення  нормативно-правових  актів  загальнодержавного  та  регіонального  рівня,  спрямованих  на розвиток  підприємництва,  усунен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ня  правових,  економічних  та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адміністративних  перешкод  у  здійсне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нні  суб’єктами  господарювання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підприємницької діяльності,  зокрема в регулято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рній, дозвільній діяльності та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у сфері нагляду і контролю.</w:t>
      </w:r>
    </w:p>
    <w:p w:rsidR="00827346" w:rsidRDefault="00827346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>У сфері регуляторної діяльност</w:t>
      </w:r>
      <w:r>
        <w:rPr>
          <w:rFonts w:ascii="Times New Roman" w:hAnsi="Times New Roman" w:cs="Times New Roman"/>
          <w:spacing w:val="-2"/>
          <w:sz w:val="28"/>
          <w:szCs w:val="28"/>
        </w:rPr>
        <w:t>і буде здійснюватися  комплекс  заходів, що передбачатимуть:</w:t>
      </w:r>
    </w:p>
    <w:p w:rsidR="00827346" w:rsidRDefault="00827346" w:rsidP="00DC2604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оприлюднення  інформації  про здійснення регуляторної діяльності; </w:t>
      </w:r>
    </w:p>
    <w:p w:rsidR="00827346" w:rsidRDefault="00827346" w:rsidP="00DC2604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>запровадження  «гарячих  ліній»,  інтернет-сторінки  для  постійного  діалогу  з представниками  бізнесу  в  процесах формування  нормативно-правового поля,  яке  регулює  підприємницьке середовище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Default="00827346" w:rsidP="00E51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>У сфері дозвільної системи з метою підвищення ефективності роботи дозвільних центрів буде здійснено такі заходи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827346" w:rsidRPr="00DC2604" w:rsidRDefault="00827346" w:rsidP="000012F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зміцнення  кадрового  потенціалу  державних  адміністраторів, забезпечення  їх  взаємозамінності  з  метою  налагодження  безперебійної роботи дозвільних центрів, уникнення черг і скарг від підприємців; </w:t>
      </w:r>
    </w:p>
    <w:p w:rsidR="00827346" w:rsidRPr="00DC2604" w:rsidRDefault="00827346" w:rsidP="000012F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>продовження  роботи  з  поліпшення  матеріально-технічного забезпечення дозвільних центрів району;</w:t>
      </w:r>
    </w:p>
    <w:p w:rsidR="00827346" w:rsidRPr="00DC2604" w:rsidRDefault="00827346" w:rsidP="000012F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постійне  оновлення  інформаційних  стендів  про  видачу  дозвільних документів, дотримання графіків роботи представників дозвільних органів </w:t>
      </w:r>
      <w:r>
        <w:rPr>
          <w:rFonts w:ascii="Times New Roman" w:hAnsi="Times New Roman" w:cs="Times New Roman"/>
          <w:spacing w:val="-2"/>
          <w:sz w:val="28"/>
          <w:szCs w:val="28"/>
        </w:rPr>
        <w:t>в роботі дозвільних центрів.</w:t>
      </w:r>
    </w:p>
    <w:p w:rsidR="00827346" w:rsidRPr="00E51DA4" w:rsidRDefault="00827346" w:rsidP="000012F6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 сфері нагляду і контролю передбачено такі заходи: </w:t>
      </w:r>
    </w:p>
    <w:p w:rsidR="00827346" w:rsidRPr="00E51DA4" w:rsidRDefault="00827346" w:rsidP="00E51DA4">
      <w:pPr>
        <w:pStyle w:val="ListParagraph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51DA4">
        <w:rPr>
          <w:rFonts w:ascii="Times New Roman" w:hAnsi="Times New Roman" w:cs="Times New Roman"/>
          <w:sz w:val="28"/>
          <w:szCs w:val="28"/>
        </w:rPr>
        <w:t>рекомендувати Державному реєстратору центру надання адміністративних послуг надавати інформацію про зареєстровані суб’єкти підприємницької діяльності на території Первомайського району у розрізі селищної, сільських рад;</w:t>
      </w:r>
    </w:p>
    <w:p w:rsidR="00827346" w:rsidRPr="00E51DA4" w:rsidRDefault="00827346" w:rsidP="00E51DA4">
      <w:pPr>
        <w:pStyle w:val="ListParagraph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z w:val="28"/>
          <w:szCs w:val="28"/>
        </w:rPr>
        <w:t xml:space="preserve">рекомендувати Первомайському Міськрайонному центру зайнятості проводити моніторинг </w:t>
      </w:r>
      <w:r w:rsidRPr="00E51DA4">
        <w:rPr>
          <w:rFonts w:ascii="Times New Roman" w:hAnsi="Times New Roman" w:cs="Times New Roman"/>
          <w:spacing w:val="-2"/>
          <w:sz w:val="28"/>
          <w:szCs w:val="28"/>
        </w:rPr>
        <w:t>цільового використання коштів фізичними особами- підприємцями, наданих для відкриття власної справи та надавати узагальнену інформацію до відділу економічного розвитку, торгівлі та туризму районної державної адміністрації;</w:t>
      </w:r>
    </w:p>
    <w:p w:rsidR="00827346" w:rsidRDefault="00827346" w:rsidP="00E51DA4">
      <w:pPr>
        <w:pStyle w:val="ListParagraph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pacing w:val="-2"/>
          <w:sz w:val="28"/>
          <w:szCs w:val="28"/>
        </w:rPr>
        <w:t>рекомендувати Первомайській об’єднаній податковій інспекції проводити моніторинг реєстрації і скасування реєстрації суб’єктів підприємницької діяльності та інформувати районну державну адміністрацію про стан сплати податків до районного бюджету діючими суб’єктами господарювання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Default="00827346" w:rsidP="00E51DA4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Підтримка розвитку підприємницької діяльності молоді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827346" w:rsidRPr="00E51DA4" w:rsidRDefault="00827346" w:rsidP="00E51DA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pacing w:val="-2"/>
          <w:sz w:val="28"/>
          <w:szCs w:val="28"/>
        </w:rPr>
        <w:t>Проведення районного конкурсу  бізнес- планів підприємницької діяльності серед молоді</w:t>
      </w:r>
    </w:p>
    <w:p w:rsidR="00827346" w:rsidRDefault="00827346" w:rsidP="00E51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346" w:rsidRPr="003D7570" w:rsidRDefault="00827346" w:rsidP="003D757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У  результаті  виконання  запропонованих  заходів  даного  розділу </w:t>
      </w:r>
    </w:p>
    <w:p w:rsidR="00827346" w:rsidRDefault="00827346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Програми  очікується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покращити підприємницьке  середовище,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підвищити  рівень  кваліфікації  спеціалістів  з питань регулят</w:t>
      </w:r>
      <w:r>
        <w:rPr>
          <w:rFonts w:ascii="Times New Roman" w:hAnsi="Times New Roman" w:cs="Times New Roman"/>
          <w:spacing w:val="-2"/>
          <w:sz w:val="28"/>
          <w:szCs w:val="28"/>
        </w:rPr>
        <w:t>орної  та дозвільної діяльності,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  забезпечити ефективну роботу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дозвільних  центрів,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 зменшити  адміністра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тивний  тиск  на  підприємців,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активізувати взаємодію органів влади з суб’єктами господарювання.</w:t>
      </w:r>
    </w:p>
    <w:p w:rsidR="00827346" w:rsidRDefault="00827346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AF792C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792C">
        <w:rPr>
          <w:rFonts w:ascii="Times New Roman" w:hAnsi="Times New Roman" w:cs="Times New Roman"/>
          <w:b/>
          <w:bCs/>
          <w:spacing w:val="-2"/>
          <w:sz w:val="28"/>
          <w:szCs w:val="28"/>
        </w:rPr>
        <w:t>Фінансово-кредитна та інвестиційна підтримка</w:t>
      </w:r>
    </w:p>
    <w:p w:rsidR="00827346" w:rsidRPr="00AF792C" w:rsidRDefault="00827346" w:rsidP="00FE47ED">
      <w:pPr>
        <w:pStyle w:val="ListParagraph"/>
        <w:spacing w:after="0"/>
        <w:ind w:left="14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AF792C" w:rsidRDefault="00827346" w:rsidP="00AF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792C">
        <w:rPr>
          <w:rFonts w:ascii="Times New Roman" w:hAnsi="Times New Roman" w:cs="Times New Roman"/>
          <w:spacing w:val="-2"/>
          <w:sz w:val="28"/>
          <w:szCs w:val="28"/>
        </w:rPr>
        <w:t xml:space="preserve">Заходи  даного  розділу  Програми  спрямовуються  на  пожвавлення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системи  фінансово-кредитної  та  інвестиційної  підтримки,  що  передбачає спрощення  доступу  малих  і  середніх  підприємств  до  кредитних  та і</w:t>
      </w:r>
      <w:r>
        <w:rPr>
          <w:rFonts w:ascii="Times New Roman" w:hAnsi="Times New Roman" w:cs="Times New Roman"/>
          <w:spacing w:val="-2"/>
          <w:sz w:val="28"/>
          <w:szCs w:val="28"/>
        </w:rPr>
        <w:t>нвестиційних ресурсів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Pr="000012F6" w:rsidRDefault="00827346" w:rsidP="00AF79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>Фінансова  підтримка  суб’єктів  малого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і  середнього  підприємництва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буде  здійснюватися  за  рахунок  коштів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авного,  обласного  та  районного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бюджетів,  а  також  кредитних  ресурсів  банк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івських  та  інших  фінансових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установ, залучення інвестиційних ресур</w:t>
      </w:r>
      <w:r>
        <w:rPr>
          <w:rFonts w:ascii="Times New Roman" w:hAnsi="Times New Roman" w:cs="Times New Roman"/>
          <w:spacing w:val="-2"/>
          <w:sz w:val="28"/>
          <w:szCs w:val="28"/>
        </w:rPr>
        <w:t>сів.</w:t>
      </w:r>
    </w:p>
    <w:p w:rsidR="00827346" w:rsidRDefault="00827346" w:rsidP="00AF79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Для  розширення  можливостей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доступу  суб’єктів  малого  і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середнього  підприємництва  до  фінансово-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кредитних  ресурсів,  заходами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програми передбачається:</w:t>
      </w:r>
    </w:p>
    <w:p w:rsidR="00827346" w:rsidRPr="000D5396" w:rsidRDefault="00827346" w:rsidP="005865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396">
        <w:rPr>
          <w:rFonts w:ascii="Times New Roman" w:hAnsi="Times New Roman" w:cs="Times New Roman"/>
          <w:spacing w:val="-2"/>
          <w:sz w:val="28"/>
          <w:szCs w:val="28"/>
        </w:rPr>
        <w:t>підтримка  інноваційних  проектів  суб’єктів  малого  і середнього підприємництва, спрямованих  на створення нових робочих місць, упровадження  інноваційних  енергозберігаючих  технологій,  виробництво конкурентоспроможної продукції;</w:t>
      </w:r>
    </w:p>
    <w:p w:rsidR="00827346" w:rsidRPr="000D5396" w:rsidRDefault="00827346" w:rsidP="005865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396">
        <w:rPr>
          <w:rFonts w:ascii="Times New Roman" w:hAnsi="Times New Roman" w:cs="Times New Roman"/>
          <w:spacing w:val="-2"/>
          <w:sz w:val="28"/>
          <w:szCs w:val="28"/>
        </w:rPr>
        <w:t>виплата  допомоги  з  безробіття  для  зайняття  підприємницькою  діяльністю особам, які перебувають на обліку в державній службі зайнятості, з метою залучення до підприємницької діяльності.</w:t>
      </w:r>
    </w:p>
    <w:p w:rsidR="00827346" w:rsidRDefault="00827346" w:rsidP="0058656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>Реалізація  заходів  цього  напряму 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рограми  сприятиме  підвищенню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ефективності  діяльності  суб’єктів  малого  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 середнього  підприємництва,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оновленню  та  модернізації  основних  фондів,  поповненню  обігових  коштів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підприємств,  розвитку  підприєм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ств  виробничого  спрямування,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упровадженню інновацій, збільшенню податкових надходжень до бюджету.</w:t>
      </w:r>
    </w:p>
    <w:p w:rsidR="00827346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58656A" w:rsidRDefault="00827346" w:rsidP="0058656A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Ресурсне та інформаційне забезпечення</w:t>
      </w:r>
    </w:p>
    <w:p w:rsidR="00827346" w:rsidRPr="0058656A" w:rsidRDefault="00827346" w:rsidP="0058656A">
      <w:pPr>
        <w:pStyle w:val="ListParagraph"/>
        <w:spacing w:after="0"/>
        <w:ind w:left="14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58656A" w:rsidRDefault="00827346" w:rsidP="0058656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Заходи  даного  розділу  Програми  спря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мовані  на  надання  суб’єктам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малого  і  середнього  підприємництва  допомоги  з  боку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органів публічної  влади: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матеріально-технічну  підтримку  підприєм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ців,  оперативне  інформування 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суб’єктів  господарювання  про  новини  і  поді</w:t>
      </w:r>
      <w:r>
        <w:rPr>
          <w:rFonts w:ascii="Times New Roman" w:hAnsi="Times New Roman" w:cs="Times New Roman"/>
          <w:spacing w:val="-2"/>
          <w:sz w:val="28"/>
          <w:szCs w:val="28"/>
        </w:rPr>
        <w:t>ї  в  сфері  підприємництва  в районі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через  засоби  масової  інформації,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веб-ресурси,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відзначення кращих підприємців та розповс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юдження їх досвіду, підвищення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кваліфікації  кадрів  малого  і  середнього  б</w:t>
      </w:r>
      <w:r>
        <w:rPr>
          <w:rFonts w:ascii="Times New Roman" w:hAnsi="Times New Roman" w:cs="Times New Roman"/>
          <w:spacing w:val="-2"/>
          <w:sz w:val="28"/>
          <w:szCs w:val="28"/>
        </w:rPr>
        <w:t>ізнесу,  навчання  незайнятого населення району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основам підприємницької діяльності.</w:t>
      </w:r>
    </w:p>
    <w:p w:rsidR="00827346" w:rsidRPr="0058656A" w:rsidRDefault="00827346" w:rsidP="001D296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Заходами  програми  у  напрямі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ресурсного  та  інформаційного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забезпечення передбачено:</w:t>
      </w:r>
    </w:p>
    <w:p w:rsidR="00827346" w:rsidRPr="004B7635" w:rsidRDefault="00827346" w:rsidP="001D29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постійне  оновлення  та  оприлюднення  бази  даних  виробничих  площ, обладнання та іншого майна  державної, комунальної та приватної  власності, яке не використовується і пропонується до продажу чи передачі в оренду;</w:t>
      </w:r>
    </w:p>
    <w:p w:rsidR="00827346" w:rsidRPr="004B7635" w:rsidRDefault="00827346" w:rsidP="004B763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залучення  суб’єктів  малого  і середнього  бізнесу  до  участі  у місцевих, регіональних,  державних виставках-ярмарках, конференціях, семінарах  з  метою  обміну  досвідом, налагодження співробітництва, просування  їх  продукції  на  місцеві  та зовнішні ринки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Default="00827346" w:rsidP="004B763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оприлюднення  в засобах масової інформації та на офіційному веб-сайті районної державної адміністрації інформації про механізм реєстрації суб’єктів підприємницької діяльності;</w:t>
      </w:r>
    </w:p>
    <w:p w:rsidR="00827346" w:rsidRDefault="00827346" w:rsidP="004B763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B7635">
        <w:rPr>
          <w:rFonts w:ascii="Times New Roman" w:hAnsi="Times New Roman" w:cs="Times New Roman"/>
          <w:spacing w:val="-2"/>
          <w:sz w:val="28"/>
          <w:szCs w:val="28"/>
        </w:rPr>
        <w:t>роведення  роботи із  залучення підприємців  до  участі  у  програмах перепідготовки управлінських  кадрів для  сфери  підприємництва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7346" w:rsidRPr="004B7635" w:rsidRDefault="00827346" w:rsidP="004B763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забезпечення  професійної підготовки,  перепідготовки  та підвищення  кваліфікації  безробітних за професіями, орієнтованими на самозайнятість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7346" w:rsidRPr="004B7635" w:rsidRDefault="00827346" w:rsidP="004B7635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B14DB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Реалізація  заходів  даного 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пряму  сприятиме  у  розширенні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можливостей  суб’єктів  малого  і  середнього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підприємництва  у  здійсненні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господарської  діяльності,  забезпеченню  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обхідною  інформацією,  обміну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досвідом  і  розповсюдженню  їх  досягн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ень,  підвищенню  кваліфікації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підприємців, створенню умов для самозайнятос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ті населення,  насамперед його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соціально  вразливих  категорій  (інвалідів,  жінок,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молоді,  звільнених  у  запас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військовослужбовців), бажаючих займатися підприємницькою діяльністю.</w:t>
      </w:r>
    </w:p>
    <w:p w:rsidR="00827346" w:rsidRPr="00FE47ED" w:rsidRDefault="00827346" w:rsidP="00FE47E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FE47ED" w:rsidRDefault="00827346" w:rsidP="00FE47ED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47ED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Формування інфраструктури підтримки підприємництва .</w:t>
      </w:r>
    </w:p>
    <w:p w:rsidR="00827346" w:rsidRPr="00FE47ED" w:rsidRDefault="00827346" w:rsidP="00FE47ED">
      <w:pPr>
        <w:pStyle w:val="ListParagraph"/>
        <w:spacing w:after="0"/>
        <w:ind w:left="142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58656A" w:rsidRDefault="00827346" w:rsidP="004C666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Даний розділ програми спрямований н</w:t>
      </w:r>
      <w:r>
        <w:rPr>
          <w:rFonts w:ascii="Times New Roman" w:hAnsi="Times New Roman" w:cs="Times New Roman"/>
          <w:spacing w:val="-2"/>
          <w:sz w:val="28"/>
          <w:szCs w:val="28"/>
        </w:rPr>
        <w:t>а поліпшення активності діючих в  районі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об’єктів  інфраструктури  підтри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мки  підприємництва,  а  також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створення  нових об’єктів, діяльність яких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є важливою умовою забезпечення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фінансової,  матеріально-технічної,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інформаційної,  технологічної,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консультативної,  кадрової  й  освітньої  п</w:t>
      </w:r>
      <w:r>
        <w:rPr>
          <w:rFonts w:ascii="Times New Roman" w:hAnsi="Times New Roman" w:cs="Times New Roman"/>
          <w:spacing w:val="-2"/>
          <w:sz w:val="28"/>
          <w:szCs w:val="28"/>
        </w:rPr>
        <w:t>ідтримки  суб’єктів  малого  і середнього підприємництва.</w:t>
      </w:r>
    </w:p>
    <w:p w:rsidR="00827346" w:rsidRPr="004B7635" w:rsidRDefault="00827346" w:rsidP="004B7635">
      <w:pPr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Створення умов  для  розвитку інфраструктури підтримки підприємництва:</w:t>
      </w:r>
    </w:p>
    <w:p w:rsidR="00827346" w:rsidRPr="004B7635" w:rsidRDefault="00827346" w:rsidP="004B763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 xml:space="preserve">збільшення кількості овочесховищ для реалізації власної овочевої групи на ринках району. </w:t>
      </w:r>
    </w:p>
    <w:p w:rsidR="00827346" w:rsidRPr="00FE47ED" w:rsidRDefault="00827346" w:rsidP="006C40C4">
      <w:pPr>
        <w:pStyle w:val="ListParagraph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6C40C4" w:rsidRDefault="00827346" w:rsidP="006C40C4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40C4">
        <w:rPr>
          <w:rFonts w:ascii="Times New Roman" w:hAnsi="Times New Roman" w:cs="Times New Roman"/>
          <w:b/>
          <w:bCs/>
          <w:spacing w:val="-2"/>
          <w:sz w:val="28"/>
          <w:szCs w:val="28"/>
        </w:rPr>
        <w:t>Очікувані показники ефективності реалізації заходів Програми</w:t>
      </w:r>
    </w:p>
    <w:p w:rsidR="00827346" w:rsidRPr="006C40C4" w:rsidRDefault="00827346" w:rsidP="006C40C4">
      <w:pPr>
        <w:pStyle w:val="ListParagraph"/>
        <w:spacing w:after="0"/>
        <w:ind w:left="10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27346" w:rsidRPr="0058656A" w:rsidRDefault="00827346" w:rsidP="004C666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Передбачається, що внаслідок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реалізації  заходів  Програми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розвитку  малого  і  середнього  підприємництва  у  </w:t>
      </w:r>
      <w:r>
        <w:rPr>
          <w:rFonts w:ascii="Times New Roman" w:hAnsi="Times New Roman" w:cs="Times New Roman"/>
          <w:spacing w:val="-2"/>
          <w:sz w:val="28"/>
          <w:szCs w:val="28"/>
        </w:rPr>
        <w:t>Первомайському  районі  на 2015-2016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роки  будуть  створені  сприятливі  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мови  для  розвитку  малого  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середнього  підприємництва,  зростання  обсяг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  реалізації  їх  продукції,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отримання  позитивних  фінансових  рез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ультатів  малими  і  середніми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підприємствами,  забезпечення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зайнятості  населення  району,  підвищення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конкурентоспроможності бізнес-середовища,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стимулювання інвестиційної та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інноваційної  активності  суб’єктів  підприємництва.  Продовження  дер</w:t>
      </w:r>
      <w:r>
        <w:rPr>
          <w:rFonts w:ascii="Times New Roman" w:hAnsi="Times New Roman" w:cs="Times New Roman"/>
          <w:spacing w:val="-2"/>
          <w:sz w:val="28"/>
          <w:szCs w:val="28"/>
        </w:rPr>
        <w:t>жавної політики  на  районному  місцевому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з  підтримки  розвитку  малого  і  середнього </w:t>
      </w:r>
    </w:p>
    <w:p w:rsidR="00827346" w:rsidRPr="0058656A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бізнесу забезпечить подальше соціальн</w:t>
      </w:r>
      <w:r>
        <w:rPr>
          <w:rFonts w:ascii="Times New Roman" w:hAnsi="Times New Roman" w:cs="Times New Roman"/>
          <w:spacing w:val="-2"/>
          <w:sz w:val="28"/>
          <w:szCs w:val="28"/>
        </w:rPr>
        <w:t>о-економічне зростання району.</w:t>
      </w:r>
    </w:p>
    <w:p w:rsidR="00827346" w:rsidRPr="0058656A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Pr="006C40C4" w:rsidRDefault="00827346" w:rsidP="006C40C4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40C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Моніторинг Програми та контроль за реалізацією її заходів.</w:t>
      </w:r>
    </w:p>
    <w:p w:rsidR="00827346" w:rsidRPr="006C40C4" w:rsidRDefault="00827346" w:rsidP="006C40C4">
      <w:pPr>
        <w:pStyle w:val="ListParagraph"/>
        <w:spacing w:after="0"/>
        <w:ind w:left="1069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Моніторинг виконання Прогр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ами здійснюється щопівроку.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Забезпечення  Програми  фінансовим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 ресурсами  здійснюється  за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рахунок  коштів  державного,  обласного  та  місцевих  бюджетів  за  рішенням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районної  ради.</w:t>
      </w:r>
    </w:p>
    <w:p w:rsidR="00827346" w:rsidRPr="0058656A" w:rsidRDefault="00827346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На  виконання  окремих  положень  Про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грами  спрямовуються  кошти  з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інших  джерел,  не  заборонених  Законом,  зокрема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Фонду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загальнообов'язкового  державного  соціаль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ного  страхування  на  випадок 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безробіття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 кредитних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ресурсів банківських та небанківських фіна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нсово-кредитних установ, кошти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донорських організацій, інших установ, підприємств, організацій.</w:t>
      </w:r>
    </w:p>
    <w:p w:rsidR="00827346" w:rsidRPr="0058656A" w:rsidRDefault="00827346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виконанням Програми здійснюється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районною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державною </w:t>
      </w:r>
    </w:p>
    <w:p w:rsidR="00827346" w:rsidRPr="0058656A" w:rsidRDefault="00827346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адміністрацією та районною радою. </w:t>
      </w: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Координацію  дій  щодо  стану  виконання  Програми  здійснює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відділ економічного розвитку, торгівлі та туризму районної державної адміністрації виявлення проблем та недоліків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обговорення  стану  та  проблем  реалізації  заходів  Прогр</w:t>
      </w:r>
      <w:r>
        <w:rPr>
          <w:rFonts w:ascii="Times New Roman" w:hAnsi="Times New Roman" w:cs="Times New Roman"/>
          <w:spacing w:val="-2"/>
          <w:sz w:val="28"/>
          <w:szCs w:val="28"/>
        </w:rPr>
        <w:t>ами  на  засіданнях  постійних комісій  районної ради.</w:t>
      </w: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827346" w:rsidSect="009E7C9D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827346" w:rsidRPr="005D0C5B" w:rsidRDefault="00827346" w:rsidP="00B31F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D0C5B">
        <w:rPr>
          <w:rFonts w:ascii="Times New Roman" w:hAnsi="Times New Roman" w:cs="Times New Roman"/>
          <w:b/>
          <w:bCs/>
          <w:spacing w:val="-2"/>
          <w:sz w:val="28"/>
          <w:szCs w:val="28"/>
        </w:rPr>
        <w:t>8. Заходи  Комплексної програми розвитку малого і середнього підприємництва</w:t>
      </w:r>
    </w:p>
    <w:p w:rsidR="00827346" w:rsidRPr="005D0C5B" w:rsidRDefault="00827346" w:rsidP="00B31F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D0C5B">
        <w:rPr>
          <w:rFonts w:ascii="Times New Roman" w:hAnsi="Times New Roman" w:cs="Times New Roman"/>
          <w:b/>
          <w:bCs/>
          <w:spacing w:val="-2"/>
          <w:sz w:val="28"/>
          <w:szCs w:val="28"/>
        </w:rPr>
        <w:t>у  Первомайському районі на 2015-2016 роки</w:t>
      </w:r>
    </w:p>
    <w:p w:rsidR="00827346" w:rsidRDefault="00827346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586"/>
        <w:gridCol w:w="3246"/>
        <w:gridCol w:w="2025"/>
        <w:gridCol w:w="2475"/>
        <w:gridCol w:w="2140"/>
        <w:gridCol w:w="1973"/>
      </w:tblGrid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Пріоритетні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завдання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Зміст заходу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Термін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виконання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Виконавці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Джерела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фінансування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Вартість,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тис. грн.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7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 Забезпечення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реалізації  державної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регуляторної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політики  у  сфері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господарської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1.1.1.Оприлюднення  інформації  про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здійснення регуляторної діяльності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1.1.2.Запровадження  «гарячих  ліній»,  інтернет-сторінки  для  постійного  діалогу  з представниками  бізнесу  в  процесах формування  нормативно-правового поля,  яке  регулює  підприємницьке середовище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Первомайська об’єднана податкова інспекція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1.1.3.Підвищення  кадрового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потенціалу  державних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адміністраторів, забезпечення  їх взаємозамінності  з  метою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налагодження  безперебійної  роботи дозвільних  центрів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1.1.4.Покращення  матеріально-технічної  бази  дозвільних  центрів  з видачі  документів дозвільного характеру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обласного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бюджету,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1.1.5.Постійне  оновлення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інформаційних  стендів  про  видачу дозвільних документів  у  дозвільних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центрах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1.2.Удосконалення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нагляду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(контролю)  у сфері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господарської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1.2.1.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Рекомендувати Державному реєстратору центру надання адміністративних послуг надавати інформацію про зареєстровані суб’єкти підприємницької діяльності на території Первомайського району у розрізі селищної, сільських рад.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1.2.2.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Первомайському Міськрайонному центру зайнятості проводити моніторинг </w:t>
            </w: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цільового використання коштів фізичними особами- підприємцями, наданих для відкриття власної справи та надавати узагальнену інформацію до відділу економічного розвитку, торгівлі та туризму районної державної адміністрації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 Рекомендувати Первомайській об’єднаній податковій інспекції проводити моніторинг реєстрації і скасування реєстрації суб’єктів підприємницької діяльності та інформувати районну державну адміністрацію про стан сплати податків до районного бюджету діючими суб’єктами господарювання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Щомісяця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Щомісяця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Щомісяця 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Державний реєстратор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Первомайська об’єднана податкова інспекція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потребує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1.3.Підтримка розвитку підприємницької діяльності молоді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 районного конкурсу  бізнес- планів підприємницької діяльності серед молоді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Квітень-травень 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зайнятості, відділ економічного розвитку, торгівлі та туризму райдержадміністрації,  сектор молоді та спорту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потребує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ІІ. Фінансово-кредитна та інвестиційна підтримка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2.1.Підтримка  інноваційних  проектів  суб’єктів  малого  і середнього підприємництва, спрямованих  на створення нових робочих місць, упровадження  інноваційних  енергозберігаючих  технологій,  виробництво конкурентоспроможної продукції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2.1.1.Фінансова  підтримка  інноваційних  проектів  суб’єктів  малого  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середнього  підприємництва,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спрямованих  на  створення  нових робочих  місць, упровадження інноваційних  енергозберігаючих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технологій,  виробництво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конкурентоспроможної продукції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Фінансове управління районної державної 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2.1.2.Сприяння  працевлаштуванню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безробітних громадян шляхом виплати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допомоги  по  безробіттю  одноразово для  зайняття  підприємницькою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діяльністю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УСЗН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загально-обов’язкового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соціально-го страхування на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випадок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безробіття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ІІІ. Ресурсне та інформаційне забезпечення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3.1.Застосування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механізмів ресурсної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підтримки  малого  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середнього бізнесу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3.1.1.Постійне  оновлення  та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оприлюднення  у  засобах  масової інформації,  у  тому  числі  на  офіційному веб-сайті  бази  даних  виробничих  площ,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обладнання  та  іншого  майна державної,  комунальної  та  інших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 власності, що пропонуються для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продажу  чи  передачі  в  оренду суб’єктам  малого  і  середнього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Щокварталу 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потребує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3.1.2.Оприлюднення  </w:t>
            </w:r>
            <w:r w:rsidRPr="00401DFB">
              <w:rPr>
                <w:spacing w:val="-2"/>
                <w:sz w:val="28"/>
                <w:szCs w:val="28"/>
              </w:rPr>
              <w:t xml:space="preserve">в </w:t>
            </w: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засобах масової інформації та на офіційному веб-сайті районної державної адміністрації інформації про механізм реєстрації суб’єктів підприємницької діяльності.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Щокварталу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3.1.3.Залучення  суб’єктів  малого  і середнього  бізнесу  до  участі  у місцевих,  регіональних,  державних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виставках-ярмарках, конференціях, семінарах  з  метою  обміну  досвідом,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налагодження співробітництва,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просування  їх  продукції  на  місцеві  та зовнішні ринки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3.2.Підвищення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кваліфікації  кадрів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 сфери  малого  і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середнього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3.2.1. Проведення  роботи із  залучення підприємців  до  участі  у  програмах перепідготовки управлінських  кадрів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 сфери  підприємництва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потребує 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3.3. Навчання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незайнятого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населення  основам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підприємницької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3.3.1. Забезпечення  професійної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підготовки,  перепідготовки  та підвищення  кваліфікації  безробітних за професіями, орієнтованими на само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зайнятість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загально-обов’язкового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соціально-го страхування на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випадок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безробіття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ІV. Формування інфраструктури підтримки підприємництва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4.1. Створення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умов  для  розвитку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інфраструктури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підтримки </w:t>
            </w:r>
          </w:p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4.1.1.Збільшення кількості овочесховищ для реалізації власної овочевої групи на ринках району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агропромислового розвитку районної державної адміністрації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827346" w:rsidRPr="00401DFB">
        <w:tc>
          <w:tcPr>
            <w:tcW w:w="15126" w:type="dxa"/>
            <w:gridSpan w:val="7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VІ Цільові проекти та  пілотні програми</w:t>
            </w: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Інвестиційні проекти</w:t>
            </w: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 племінних корів молочного напрямку, для розвитку молочного скотарства. Збільшення продуктивності виробництва молока по району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агропромислового розвитку</w:t>
            </w:r>
            <w:r w:rsidRPr="00401DFB">
              <w:rPr>
                <w:sz w:val="24"/>
                <w:szCs w:val="24"/>
              </w:rPr>
              <w:t>,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Приватне сільськогосподарське підприємство «Кумари»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800,00 тис. грн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Виробництво безалкогольних напоїв, «Аква-Марин»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«Аква-Марин»</w:t>
            </w: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43,7 тис.дол.</w:t>
            </w: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1DFB">
              <w:rPr>
                <w:rFonts w:ascii="Times New Roman" w:hAnsi="Times New Roman" w:cs="Times New Roman"/>
                <w:b/>
                <w:bCs/>
              </w:rPr>
              <w:t>Вільні земельні ділянки:</w:t>
            </w:r>
          </w:p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№1 під проект з виробництва альтернативних видів енергії Софіївської сільської ради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№2 під проект з виробництва альтернативних видів енергії Романовобалківської сільської ради (с. Генівка)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№3 під проект з виробництва альтернативних видів енергії смт. Підгородня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27346" w:rsidRPr="00401DFB">
        <w:tc>
          <w:tcPr>
            <w:tcW w:w="681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827346" w:rsidRPr="00401DFB" w:rsidRDefault="00827346" w:rsidP="00401D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6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№4 під проект з виробництва альтернативних видів енергії</w:t>
            </w:r>
          </w:p>
        </w:tc>
        <w:tc>
          <w:tcPr>
            <w:tcW w:w="202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827346" w:rsidRPr="00401DFB" w:rsidRDefault="00827346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827346" w:rsidRPr="00401DFB" w:rsidRDefault="00827346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27346" w:rsidRPr="0090436A" w:rsidRDefault="00827346" w:rsidP="00C37DB3">
      <w:pPr>
        <w:spacing w:after="0"/>
        <w:jc w:val="both"/>
      </w:pPr>
    </w:p>
    <w:sectPr w:rsidR="00827346" w:rsidRPr="0090436A" w:rsidSect="00B31FE6"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46" w:rsidRDefault="00827346" w:rsidP="009E7C9D">
      <w:pPr>
        <w:spacing w:after="0" w:line="240" w:lineRule="auto"/>
      </w:pPr>
      <w:r>
        <w:separator/>
      </w:r>
    </w:p>
  </w:endnote>
  <w:endnote w:type="continuationSeparator" w:id="0">
    <w:p w:rsidR="00827346" w:rsidRDefault="00827346" w:rsidP="009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46" w:rsidRDefault="00827346" w:rsidP="009E7C9D">
      <w:pPr>
        <w:spacing w:after="0" w:line="240" w:lineRule="auto"/>
      </w:pPr>
      <w:r>
        <w:separator/>
      </w:r>
    </w:p>
  </w:footnote>
  <w:footnote w:type="continuationSeparator" w:id="0">
    <w:p w:rsidR="00827346" w:rsidRDefault="00827346" w:rsidP="009E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46" w:rsidRPr="009E7C9D" w:rsidRDefault="0082734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E7C9D">
      <w:rPr>
        <w:rFonts w:ascii="Times New Roman" w:hAnsi="Times New Roman" w:cs="Times New Roman"/>
        <w:sz w:val="28"/>
        <w:szCs w:val="28"/>
      </w:rPr>
      <w:fldChar w:fldCharType="begin"/>
    </w:r>
    <w:r w:rsidRPr="009E7C9D">
      <w:rPr>
        <w:rFonts w:ascii="Times New Roman" w:hAnsi="Times New Roman" w:cs="Times New Roman"/>
        <w:sz w:val="28"/>
        <w:szCs w:val="28"/>
      </w:rPr>
      <w:instrText>PAGE   \* MERGEFORMAT</w:instrText>
    </w:r>
    <w:r w:rsidRPr="009E7C9D">
      <w:rPr>
        <w:rFonts w:ascii="Times New Roman" w:hAnsi="Times New Roman" w:cs="Times New Roman"/>
        <w:sz w:val="28"/>
        <w:szCs w:val="28"/>
      </w:rPr>
      <w:fldChar w:fldCharType="separate"/>
    </w:r>
    <w:r w:rsidRPr="004B0485">
      <w:rPr>
        <w:rFonts w:ascii="Times New Roman" w:hAnsi="Times New Roman" w:cs="Times New Roman"/>
        <w:noProof/>
        <w:sz w:val="28"/>
        <w:szCs w:val="28"/>
        <w:lang w:val="ru-RU"/>
      </w:rPr>
      <w:t>20</w:t>
    </w:r>
    <w:r w:rsidRPr="009E7C9D">
      <w:rPr>
        <w:rFonts w:ascii="Times New Roman" w:hAnsi="Times New Roman" w:cs="Times New Roman"/>
        <w:sz w:val="28"/>
        <w:szCs w:val="28"/>
      </w:rPr>
      <w:fldChar w:fldCharType="end"/>
    </w:r>
  </w:p>
  <w:p w:rsidR="00827346" w:rsidRDefault="00827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45"/>
    <w:multiLevelType w:val="hybridMultilevel"/>
    <w:tmpl w:val="1396A8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A180A"/>
    <w:multiLevelType w:val="hybridMultilevel"/>
    <w:tmpl w:val="CBC0387A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20229"/>
    <w:multiLevelType w:val="multilevel"/>
    <w:tmpl w:val="87740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7D454D"/>
    <w:multiLevelType w:val="hybridMultilevel"/>
    <w:tmpl w:val="9D7AD6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C01D3"/>
    <w:multiLevelType w:val="hybridMultilevel"/>
    <w:tmpl w:val="4992D28E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2C1CBD"/>
    <w:multiLevelType w:val="hybridMultilevel"/>
    <w:tmpl w:val="7E087380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81E01"/>
    <w:multiLevelType w:val="hybridMultilevel"/>
    <w:tmpl w:val="8B7E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102D"/>
    <w:multiLevelType w:val="hybridMultilevel"/>
    <w:tmpl w:val="70CE210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8C1F89"/>
    <w:multiLevelType w:val="hybridMultilevel"/>
    <w:tmpl w:val="E5C66774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C50D00"/>
    <w:multiLevelType w:val="hybridMultilevel"/>
    <w:tmpl w:val="CD024066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1509DC"/>
    <w:multiLevelType w:val="hybridMultilevel"/>
    <w:tmpl w:val="9C62D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27843"/>
    <w:multiLevelType w:val="hybridMultilevel"/>
    <w:tmpl w:val="09C64C96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2A04C8"/>
    <w:multiLevelType w:val="multilevel"/>
    <w:tmpl w:val="B92E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D83B9E"/>
    <w:multiLevelType w:val="hybridMultilevel"/>
    <w:tmpl w:val="9E28CA2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979DB"/>
    <w:multiLevelType w:val="hybridMultilevel"/>
    <w:tmpl w:val="558EA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DB513E"/>
    <w:multiLevelType w:val="multilevel"/>
    <w:tmpl w:val="CCEE6A7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F041E78"/>
    <w:multiLevelType w:val="hybridMultilevel"/>
    <w:tmpl w:val="418E4B2E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B30E42"/>
    <w:multiLevelType w:val="hybridMultilevel"/>
    <w:tmpl w:val="6B367E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2C53C1"/>
    <w:multiLevelType w:val="hybridMultilevel"/>
    <w:tmpl w:val="CFCA0154"/>
    <w:lvl w:ilvl="0" w:tplc="CE30A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C005C"/>
    <w:multiLevelType w:val="hybridMultilevel"/>
    <w:tmpl w:val="D7F4537E"/>
    <w:lvl w:ilvl="0" w:tplc="69649FE4">
      <w:start w:val="200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3D52F7D"/>
    <w:multiLevelType w:val="hybridMultilevel"/>
    <w:tmpl w:val="0B7E3A3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C97950"/>
    <w:multiLevelType w:val="hybridMultilevel"/>
    <w:tmpl w:val="28F6D9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FF6B35"/>
    <w:multiLevelType w:val="hybridMultilevel"/>
    <w:tmpl w:val="5F9447D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8"/>
  </w:num>
  <w:num w:numId="5">
    <w:abstractNumId w:val="16"/>
  </w:num>
  <w:num w:numId="6">
    <w:abstractNumId w:val="18"/>
  </w:num>
  <w:num w:numId="7">
    <w:abstractNumId w:val="2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1"/>
  </w:num>
  <w:num w:numId="19">
    <w:abstractNumId w:val="0"/>
  </w:num>
  <w:num w:numId="20">
    <w:abstractNumId w:val="12"/>
  </w:num>
  <w:num w:numId="21">
    <w:abstractNumId w:val="19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0D"/>
    <w:rsid w:val="000012F6"/>
    <w:rsid w:val="000142D0"/>
    <w:rsid w:val="00044DB4"/>
    <w:rsid w:val="00061FDB"/>
    <w:rsid w:val="000820B4"/>
    <w:rsid w:val="0008359B"/>
    <w:rsid w:val="000A4452"/>
    <w:rsid w:val="000D5396"/>
    <w:rsid w:val="000E0F3A"/>
    <w:rsid w:val="000E16B5"/>
    <w:rsid w:val="000F7492"/>
    <w:rsid w:val="00100294"/>
    <w:rsid w:val="001023E6"/>
    <w:rsid w:val="00127265"/>
    <w:rsid w:val="0013148F"/>
    <w:rsid w:val="00165D90"/>
    <w:rsid w:val="001B589D"/>
    <w:rsid w:val="001D2969"/>
    <w:rsid w:val="001E170D"/>
    <w:rsid w:val="001F7172"/>
    <w:rsid w:val="00201480"/>
    <w:rsid w:val="00206246"/>
    <w:rsid w:val="0020788C"/>
    <w:rsid w:val="002115DB"/>
    <w:rsid w:val="002211C9"/>
    <w:rsid w:val="00244339"/>
    <w:rsid w:val="002640EC"/>
    <w:rsid w:val="002722AE"/>
    <w:rsid w:val="002C0F27"/>
    <w:rsid w:val="002E18E0"/>
    <w:rsid w:val="002E3D76"/>
    <w:rsid w:val="002E7196"/>
    <w:rsid w:val="002F5F20"/>
    <w:rsid w:val="00344F9B"/>
    <w:rsid w:val="00350E67"/>
    <w:rsid w:val="003518FC"/>
    <w:rsid w:val="00353988"/>
    <w:rsid w:val="00363CC4"/>
    <w:rsid w:val="003754ED"/>
    <w:rsid w:val="00396A1B"/>
    <w:rsid w:val="003A213A"/>
    <w:rsid w:val="003B63BD"/>
    <w:rsid w:val="003C5C67"/>
    <w:rsid w:val="003D7570"/>
    <w:rsid w:val="003F2919"/>
    <w:rsid w:val="00401DFB"/>
    <w:rsid w:val="0041447C"/>
    <w:rsid w:val="004507F1"/>
    <w:rsid w:val="0046334B"/>
    <w:rsid w:val="00472D2F"/>
    <w:rsid w:val="004B0485"/>
    <w:rsid w:val="004B7635"/>
    <w:rsid w:val="004C666C"/>
    <w:rsid w:val="004E2D9C"/>
    <w:rsid w:val="004F7BC5"/>
    <w:rsid w:val="0054606E"/>
    <w:rsid w:val="0055675D"/>
    <w:rsid w:val="005575C0"/>
    <w:rsid w:val="005672F7"/>
    <w:rsid w:val="0058656A"/>
    <w:rsid w:val="00592898"/>
    <w:rsid w:val="005B0DD1"/>
    <w:rsid w:val="005C0412"/>
    <w:rsid w:val="005D0C5B"/>
    <w:rsid w:val="005D1272"/>
    <w:rsid w:val="00691201"/>
    <w:rsid w:val="00696649"/>
    <w:rsid w:val="006A09F7"/>
    <w:rsid w:val="006B2E1F"/>
    <w:rsid w:val="006C40C4"/>
    <w:rsid w:val="007130CD"/>
    <w:rsid w:val="007224E6"/>
    <w:rsid w:val="00732CF1"/>
    <w:rsid w:val="00743D2F"/>
    <w:rsid w:val="0074609F"/>
    <w:rsid w:val="007468BC"/>
    <w:rsid w:val="00755BD8"/>
    <w:rsid w:val="007665B3"/>
    <w:rsid w:val="007B3CD8"/>
    <w:rsid w:val="007E6700"/>
    <w:rsid w:val="007E752C"/>
    <w:rsid w:val="007F54BD"/>
    <w:rsid w:val="007F6ED0"/>
    <w:rsid w:val="00827346"/>
    <w:rsid w:val="00857BA4"/>
    <w:rsid w:val="00866C38"/>
    <w:rsid w:val="00867E27"/>
    <w:rsid w:val="008758B5"/>
    <w:rsid w:val="008A5AFC"/>
    <w:rsid w:val="008A7AB0"/>
    <w:rsid w:val="008C78D9"/>
    <w:rsid w:val="008E62DF"/>
    <w:rsid w:val="0090436A"/>
    <w:rsid w:val="00904CF7"/>
    <w:rsid w:val="00910B0A"/>
    <w:rsid w:val="009656E5"/>
    <w:rsid w:val="0098422C"/>
    <w:rsid w:val="009D011E"/>
    <w:rsid w:val="009E7C9D"/>
    <w:rsid w:val="00A02F96"/>
    <w:rsid w:val="00A10BCD"/>
    <w:rsid w:val="00A544D9"/>
    <w:rsid w:val="00A62BAE"/>
    <w:rsid w:val="00A63B5B"/>
    <w:rsid w:val="00A700CB"/>
    <w:rsid w:val="00A8798A"/>
    <w:rsid w:val="00AA5A24"/>
    <w:rsid w:val="00AA6827"/>
    <w:rsid w:val="00AD1152"/>
    <w:rsid w:val="00AD2BCA"/>
    <w:rsid w:val="00AD4F88"/>
    <w:rsid w:val="00AE20AF"/>
    <w:rsid w:val="00AF792C"/>
    <w:rsid w:val="00B31FE6"/>
    <w:rsid w:val="00B448B9"/>
    <w:rsid w:val="00B67A3C"/>
    <w:rsid w:val="00B745AA"/>
    <w:rsid w:val="00B811FB"/>
    <w:rsid w:val="00BB14DB"/>
    <w:rsid w:val="00C1561D"/>
    <w:rsid w:val="00C335A4"/>
    <w:rsid w:val="00C37DB3"/>
    <w:rsid w:val="00C55A84"/>
    <w:rsid w:val="00C91D87"/>
    <w:rsid w:val="00D158A0"/>
    <w:rsid w:val="00D22476"/>
    <w:rsid w:val="00D31862"/>
    <w:rsid w:val="00D4444D"/>
    <w:rsid w:val="00D451FE"/>
    <w:rsid w:val="00D5654A"/>
    <w:rsid w:val="00D56A8E"/>
    <w:rsid w:val="00D8430D"/>
    <w:rsid w:val="00D92979"/>
    <w:rsid w:val="00D975E7"/>
    <w:rsid w:val="00DB2366"/>
    <w:rsid w:val="00DC2604"/>
    <w:rsid w:val="00DF080A"/>
    <w:rsid w:val="00E36579"/>
    <w:rsid w:val="00E51DA4"/>
    <w:rsid w:val="00E53665"/>
    <w:rsid w:val="00E90421"/>
    <w:rsid w:val="00EB0390"/>
    <w:rsid w:val="00EC4754"/>
    <w:rsid w:val="00EC62D6"/>
    <w:rsid w:val="00EE6BAE"/>
    <w:rsid w:val="00F0506A"/>
    <w:rsid w:val="00F23D50"/>
    <w:rsid w:val="00F27764"/>
    <w:rsid w:val="00F3313A"/>
    <w:rsid w:val="00F3691D"/>
    <w:rsid w:val="00F474B9"/>
    <w:rsid w:val="00F740D1"/>
    <w:rsid w:val="00F743D6"/>
    <w:rsid w:val="00F8663A"/>
    <w:rsid w:val="00FE43BA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3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43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2E18E0"/>
    <w:pPr>
      <w:ind w:left="720"/>
    </w:pPr>
  </w:style>
  <w:style w:type="paragraph" w:customStyle="1" w:styleId="a">
    <w:name w:val="Знак"/>
    <w:basedOn w:val="Normal"/>
    <w:uiPriority w:val="99"/>
    <w:rsid w:val="009D01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C9D"/>
  </w:style>
  <w:style w:type="paragraph" w:styleId="Footer">
    <w:name w:val="footer"/>
    <w:basedOn w:val="Normal"/>
    <w:link w:val="FooterChar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C9D"/>
  </w:style>
  <w:style w:type="paragraph" w:customStyle="1" w:styleId="a0">
    <w:name w:val="Знак Знак Знак"/>
    <w:basedOn w:val="Normal"/>
    <w:uiPriority w:val="99"/>
    <w:rsid w:val="005575C0"/>
    <w:pPr>
      <w:spacing w:line="240" w:lineRule="exact"/>
      <w:jc w:val="both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0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2F6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Normal"/>
    <w:uiPriority w:val="99"/>
    <w:rsid w:val="00D5654A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Normal"/>
    <w:uiPriority w:val="99"/>
    <w:rsid w:val="00696649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23</Pages>
  <Words>5485</Words>
  <Characters>31270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XP GAME 2008</cp:lastModifiedBy>
  <cp:revision>6</cp:revision>
  <cp:lastPrinted>2014-11-05T07:34:00Z</cp:lastPrinted>
  <dcterms:created xsi:type="dcterms:W3CDTF">2014-11-21T09:15:00Z</dcterms:created>
  <dcterms:modified xsi:type="dcterms:W3CDTF">2014-11-21T11:29:00Z</dcterms:modified>
</cp:coreProperties>
</file>