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5" w:rsidRDefault="00E351B5" w:rsidP="007021FD">
      <w:pPr>
        <w:rPr>
          <w:rFonts w:ascii="Times New Roman" w:hAnsi="Times New Roman" w:cs="Times New Roman"/>
          <w:sz w:val="28"/>
          <w:szCs w:val="28"/>
        </w:rPr>
      </w:pPr>
      <w:r w:rsidRPr="00702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21FD">
        <w:rPr>
          <w:rFonts w:ascii="Times New Roman" w:hAnsi="Times New Roman" w:cs="Times New Roman"/>
          <w:sz w:val="28"/>
          <w:szCs w:val="28"/>
        </w:rPr>
        <w:t xml:space="preserve">  ЗАТВЕРДЖЕНО</w:t>
      </w:r>
    </w:p>
    <w:p w:rsidR="00E351B5" w:rsidRDefault="00E351B5" w:rsidP="0070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</w:t>
      </w:r>
      <w:r w:rsidRPr="00314C00">
        <w:rPr>
          <w:rFonts w:ascii="Times New Roman" w:hAnsi="Times New Roman" w:cs="Times New Roman"/>
          <w:sz w:val="28"/>
          <w:szCs w:val="28"/>
        </w:rPr>
        <w:t xml:space="preserve">ішенням  </w:t>
      </w:r>
      <w:r>
        <w:rPr>
          <w:rFonts w:ascii="Times New Roman" w:hAnsi="Times New Roman" w:cs="Times New Roman"/>
          <w:sz w:val="28"/>
          <w:szCs w:val="28"/>
        </w:rPr>
        <w:t>Первомайської</w:t>
      </w:r>
    </w:p>
    <w:p w:rsidR="00E351B5" w:rsidRDefault="00E351B5" w:rsidP="0070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021FD">
        <w:rPr>
          <w:rFonts w:ascii="Times New Roman" w:hAnsi="Times New Roman" w:cs="Times New Roman"/>
          <w:sz w:val="28"/>
          <w:szCs w:val="28"/>
        </w:rPr>
        <w:t>районної ради</w:t>
      </w:r>
    </w:p>
    <w:p w:rsidR="00E351B5" w:rsidRPr="00314C00" w:rsidRDefault="00E351B5" w:rsidP="0031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14C00">
        <w:rPr>
          <w:rFonts w:ascii="Times New Roman" w:hAnsi="Times New Roman" w:cs="Times New Roman"/>
          <w:sz w:val="28"/>
          <w:szCs w:val="28"/>
        </w:rPr>
        <w:t xml:space="preserve">______2014  №__________ </w:t>
      </w:r>
    </w:p>
    <w:p w:rsidR="00E351B5" w:rsidRDefault="00E351B5"/>
    <w:p w:rsidR="00E351B5" w:rsidRDefault="00E351B5" w:rsidP="00613DDF">
      <w:pPr>
        <w:jc w:val="center"/>
      </w:pPr>
    </w:p>
    <w:p w:rsidR="00E351B5" w:rsidRDefault="00E351B5" w:rsidP="00613DDF">
      <w:pPr>
        <w:jc w:val="center"/>
      </w:pPr>
    </w:p>
    <w:p w:rsidR="00E351B5" w:rsidRDefault="00E351B5" w:rsidP="00613DDF">
      <w:pPr>
        <w:jc w:val="center"/>
      </w:pPr>
    </w:p>
    <w:p w:rsidR="00E351B5" w:rsidRDefault="00E351B5" w:rsidP="00613DDF">
      <w:pPr>
        <w:jc w:val="center"/>
      </w:pP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01A">
        <w:rPr>
          <w:rFonts w:ascii="Times New Roman" w:hAnsi="Times New Roman" w:cs="Times New Roman"/>
          <w:b/>
          <w:bCs/>
          <w:sz w:val="28"/>
          <w:szCs w:val="28"/>
        </w:rPr>
        <w:t>РАЙОННА КОМПЛЕКСНА ПРОГРАМА</w:t>
      </w:r>
    </w:p>
    <w:p w:rsidR="00E351B5" w:rsidRPr="006045B5" w:rsidRDefault="00E351B5" w:rsidP="00604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B5">
        <w:rPr>
          <w:rFonts w:ascii="Times New Roman" w:hAnsi="Times New Roman" w:cs="Times New Roman"/>
          <w:b/>
          <w:bCs/>
          <w:sz w:val="28"/>
          <w:szCs w:val="28"/>
        </w:rPr>
        <w:t>увічнення пам’яті учасників антитерористичної операції,</w:t>
      </w:r>
    </w:p>
    <w:p w:rsidR="00E351B5" w:rsidRPr="006045B5" w:rsidRDefault="00E351B5" w:rsidP="00604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B5">
        <w:rPr>
          <w:rFonts w:ascii="Times New Roman" w:hAnsi="Times New Roman" w:cs="Times New Roman"/>
          <w:b/>
          <w:bCs/>
          <w:sz w:val="28"/>
          <w:szCs w:val="28"/>
        </w:rPr>
        <w:t>жертв воєн</w:t>
      </w:r>
      <w:r w:rsidRPr="006045B5">
        <w:rPr>
          <w:rFonts w:ascii="Times New Roman" w:hAnsi="Times New Roman" w:cs="Times New Roman"/>
          <w:b/>
          <w:bCs/>
        </w:rPr>
        <w:t xml:space="preserve"> </w:t>
      </w:r>
      <w:r w:rsidRPr="006045B5">
        <w:rPr>
          <w:rFonts w:ascii="Times New Roman" w:hAnsi="Times New Roman" w:cs="Times New Roman"/>
          <w:b/>
          <w:bCs/>
          <w:sz w:val="28"/>
          <w:szCs w:val="28"/>
        </w:rPr>
        <w:t>і політичних репресій та соціальної підтримки</w:t>
      </w:r>
    </w:p>
    <w:p w:rsidR="00E351B5" w:rsidRDefault="00E351B5" w:rsidP="00604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B5">
        <w:rPr>
          <w:rFonts w:ascii="Times New Roman" w:hAnsi="Times New Roman" w:cs="Times New Roman"/>
          <w:b/>
          <w:bCs/>
          <w:sz w:val="28"/>
          <w:szCs w:val="28"/>
        </w:rPr>
        <w:t xml:space="preserve">сімей загиблих  і поранених учасників АТО </w:t>
      </w:r>
    </w:p>
    <w:p w:rsidR="00E351B5" w:rsidRPr="006045B5" w:rsidRDefault="00E351B5" w:rsidP="00604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B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5B5">
        <w:rPr>
          <w:rFonts w:ascii="Times New Roman" w:hAnsi="Times New Roman" w:cs="Times New Roman"/>
          <w:b/>
          <w:bCs/>
          <w:sz w:val="28"/>
          <w:szCs w:val="28"/>
        </w:rPr>
        <w:t>Первомайському районі</w:t>
      </w:r>
      <w:r w:rsidRPr="006045B5">
        <w:rPr>
          <w:rFonts w:ascii="Times New Roman" w:hAnsi="Times New Roman" w:cs="Times New Roman"/>
          <w:b/>
          <w:bCs/>
        </w:rPr>
        <w:t xml:space="preserve"> </w:t>
      </w:r>
      <w:r w:rsidRPr="006045B5">
        <w:rPr>
          <w:rFonts w:ascii="Times New Roman" w:hAnsi="Times New Roman" w:cs="Times New Roman"/>
          <w:b/>
          <w:bCs/>
          <w:sz w:val="28"/>
          <w:szCs w:val="28"/>
        </w:rPr>
        <w:t>на 2014-2015 роки</w:t>
      </w: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1741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1741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51B5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51B5" w:rsidRPr="00952216" w:rsidRDefault="00E351B5" w:rsidP="00613D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51B5" w:rsidRPr="00314C00" w:rsidRDefault="00E351B5" w:rsidP="00274F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0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14C00">
        <w:rPr>
          <w:rFonts w:ascii="Times New Roman" w:hAnsi="Times New Roman" w:cs="Times New Roman"/>
          <w:b/>
          <w:bCs/>
          <w:sz w:val="28"/>
          <w:szCs w:val="28"/>
        </w:rPr>
        <w:t>.   Загальні положення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 комплексна програма  соціальної підтримки сімей загиблих </w:t>
      </w:r>
      <w:r w:rsidRPr="002B774C">
        <w:rPr>
          <w:rFonts w:ascii="Times New Roman" w:hAnsi="Times New Roman" w:cs="Times New Roman"/>
          <w:sz w:val="28"/>
          <w:szCs w:val="28"/>
        </w:rPr>
        <w:t>учасників антитерористичної операції, військовослужбовців і поранених учасників АТО та увічнення пам’яті учасників антитерористичної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4C">
        <w:rPr>
          <w:rFonts w:ascii="Times New Roman" w:hAnsi="Times New Roman" w:cs="Times New Roman"/>
          <w:sz w:val="28"/>
          <w:szCs w:val="28"/>
        </w:rPr>
        <w:t xml:space="preserve"> операції, же</w:t>
      </w:r>
      <w:r>
        <w:rPr>
          <w:rFonts w:ascii="Times New Roman" w:hAnsi="Times New Roman" w:cs="Times New Roman"/>
          <w:sz w:val="28"/>
          <w:szCs w:val="28"/>
        </w:rPr>
        <w:t>ртв воєн та політичних репресій на 2014 -  2015 роки ( далі – Програма ) покликана сприяти реалізації Законів України «Про статус ветеранів війни, гарантії їх соціального захисту», 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учасників антитерористичної операції, військовослужбовців і поранених учасників АТО та вшанування пам</w:t>
      </w:r>
      <w:r w:rsidRPr="00C811B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яті загиблих.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Таким чином, Програма на даний час має найважливіше значення та потребує залучення фінансових ресурсів бюджетів усіх рівнів.</w:t>
      </w:r>
    </w:p>
    <w:p w:rsidR="00E351B5" w:rsidRDefault="00E351B5" w:rsidP="00D55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1B5" w:rsidRDefault="00E351B5" w:rsidP="00604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35C0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C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D1DB8">
        <w:rPr>
          <w:rFonts w:ascii="Times New Roman" w:hAnsi="Times New Roman" w:cs="Times New Roman"/>
          <w:b/>
          <w:bCs/>
          <w:sz w:val="28"/>
          <w:szCs w:val="28"/>
        </w:rPr>
        <w:t>роблема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1DB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розв</w:t>
      </w:r>
      <w:r w:rsidRPr="002F7071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язання якої спрямована Програма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71">
        <w:rPr>
          <w:rFonts w:ascii="Times New Roman" w:hAnsi="Times New Roman" w:cs="Times New Roman"/>
          <w:sz w:val="28"/>
          <w:szCs w:val="28"/>
        </w:rPr>
        <w:t>Програма розроблена в умовах проведення в Україні антитерористичної  операції (далі - АТО). Тому виникає необхідність надання додаткових соц</w:t>
      </w:r>
      <w:r>
        <w:rPr>
          <w:rFonts w:ascii="Times New Roman" w:hAnsi="Times New Roman" w:cs="Times New Roman"/>
          <w:sz w:val="28"/>
          <w:szCs w:val="28"/>
        </w:rPr>
        <w:t xml:space="preserve">іальних гарантій учасникам АТО та </w:t>
      </w:r>
      <w:r w:rsidRPr="002F7071">
        <w:rPr>
          <w:rFonts w:ascii="Times New Roman" w:hAnsi="Times New Roman" w:cs="Times New Roman"/>
          <w:sz w:val="28"/>
          <w:szCs w:val="28"/>
        </w:rPr>
        <w:t>членам їх сімей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071">
        <w:rPr>
          <w:rFonts w:ascii="Times New Roman" w:hAnsi="Times New Roman" w:cs="Times New Roman"/>
          <w:sz w:val="28"/>
          <w:szCs w:val="28"/>
        </w:rPr>
        <w:t xml:space="preserve">пораненим військовослужбовцям, а також сім’ям, члени яких загинули під час проведення  АТО, </w:t>
      </w:r>
      <w:r w:rsidRPr="002343B4">
        <w:rPr>
          <w:rFonts w:ascii="Times New Roman" w:hAnsi="Times New Roman" w:cs="Times New Roman"/>
          <w:sz w:val="28"/>
          <w:szCs w:val="28"/>
        </w:rPr>
        <w:t xml:space="preserve">підтримання їх морально – психологічного стану, </w:t>
      </w:r>
      <w:r w:rsidRPr="002F7071">
        <w:rPr>
          <w:rFonts w:ascii="Times New Roman" w:hAnsi="Times New Roman" w:cs="Times New Roman"/>
          <w:sz w:val="28"/>
          <w:szCs w:val="28"/>
        </w:rPr>
        <w:t xml:space="preserve">поліпшення фінансово – матеріального </w:t>
      </w:r>
      <w:r>
        <w:rPr>
          <w:rFonts w:ascii="Times New Roman" w:hAnsi="Times New Roman" w:cs="Times New Roman"/>
          <w:sz w:val="28"/>
          <w:szCs w:val="28"/>
        </w:rPr>
        <w:t>стану зазначених категорій осіб, поліпшення ефективності взаємодії місцевих органів виконавчої влади, органів місцевого самоврядування з громадськими організаціями  та іншими юридичними особами у сфері підтримки учасників АТО та членів їх сімей, а також вшанування пам</w:t>
      </w:r>
      <w:r w:rsidRPr="002343B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яті героїв</w:t>
      </w:r>
      <w:r w:rsidRPr="002343B4">
        <w:t xml:space="preserve"> </w:t>
      </w:r>
      <w:r w:rsidRPr="002343B4">
        <w:rPr>
          <w:rFonts w:ascii="Times New Roman" w:hAnsi="Times New Roman" w:cs="Times New Roman"/>
          <w:sz w:val="28"/>
          <w:szCs w:val="28"/>
        </w:rPr>
        <w:t>антитерористичної  операції, жертв воєн та політичних репресій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1B5" w:rsidRPr="00B8614D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допомоги  та пільг  членам сімей учасників АТО, </w:t>
      </w:r>
      <w:r w:rsidRPr="002343B4">
        <w:rPr>
          <w:rFonts w:ascii="Times New Roman" w:hAnsi="Times New Roman" w:cs="Times New Roman"/>
          <w:sz w:val="28"/>
          <w:szCs w:val="28"/>
        </w:rPr>
        <w:t xml:space="preserve"> у разі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Pr="002343B4">
        <w:rPr>
          <w:rFonts w:ascii="Times New Roman" w:hAnsi="Times New Roman" w:cs="Times New Roman"/>
          <w:sz w:val="28"/>
          <w:szCs w:val="28"/>
        </w:rPr>
        <w:t xml:space="preserve">загибелі під час проведення АТО, здійснюється на підставі </w:t>
      </w:r>
      <w:r>
        <w:rPr>
          <w:rFonts w:ascii="Times New Roman" w:hAnsi="Times New Roman" w:cs="Times New Roman"/>
          <w:sz w:val="28"/>
          <w:szCs w:val="28"/>
        </w:rPr>
        <w:t>списків, наданих структурними підрозділами Міністерства оборони України (військовими комісаріатами), Міністерства внутрішніх справ України, Служби безпеки України, Державної прикордонної служби України, Національної гвардії України, Державної служби України з надзвичайних ситуацій  тощо та акта обстеження матеріально - побутових умов сім</w:t>
      </w:r>
      <w:r w:rsidRPr="004B603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складеного органами місцевого самоврядування.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передбачає заходи щодо  увічнення </w:t>
      </w:r>
      <w:r w:rsidRPr="00B8614D">
        <w:rPr>
          <w:rFonts w:ascii="Times New Roman" w:hAnsi="Times New Roman" w:cs="Times New Roman"/>
          <w:sz w:val="28"/>
          <w:szCs w:val="28"/>
        </w:rPr>
        <w:t>пам’яті  героїв</w:t>
      </w:r>
      <w:r w:rsidRPr="00035C08">
        <w:t xml:space="preserve"> </w:t>
      </w:r>
      <w:r w:rsidRPr="00B8614D">
        <w:rPr>
          <w:rFonts w:ascii="Times New Roman" w:hAnsi="Times New Roman" w:cs="Times New Roman"/>
          <w:sz w:val="28"/>
          <w:szCs w:val="28"/>
        </w:rPr>
        <w:t>антитерористичної  операції, жертв воєн та політичних репресій, зокрема ведення обліку, впорядкування,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4D">
        <w:rPr>
          <w:rFonts w:ascii="Times New Roman" w:hAnsi="Times New Roman" w:cs="Times New Roman"/>
          <w:sz w:val="28"/>
          <w:szCs w:val="28"/>
        </w:rPr>
        <w:t>забезпечення збереження і утримання місць поховання учасників антитерористичної  операції, жертв воєн та політичних репресій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Первомайського району, проведення системної – просвітницької роботи.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Похованнями учасників антитерористичної операції,  жертв воєн та політичних репресій вважаються розташовані на території Первомайського району місця поховань:</w:t>
      </w:r>
    </w:p>
    <w:p w:rsidR="00E351B5" w:rsidRPr="00277320" w:rsidRDefault="00E351B5" w:rsidP="00D559C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20">
        <w:rPr>
          <w:rFonts w:ascii="Times New Roman" w:hAnsi="Times New Roman" w:cs="Times New Roman"/>
          <w:sz w:val="28"/>
          <w:szCs w:val="28"/>
        </w:rPr>
        <w:t>учасників антитерористичної операції, які загинули під час проведення антитерористичної операції, померли від ран, каліцтва або захворювань;</w:t>
      </w:r>
    </w:p>
    <w:p w:rsidR="00E351B5" w:rsidRPr="00277320" w:rsidRDefault="00E351B5" w:rsidP="00D559C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20">
        <w:rPr>
          <w:rFonts w:ascii="Times New Roman" w:hAnsi="Times New Roman" w:cs="Times New Roman"/>
          <w:sz w:val="28"/>
          <w:szCs w:val="28"/>
        </w:rPr>
        <w:t>військо</w:t>
      </w:r>
      <w:r>
        <w:rPr>
          <w:rFonts w:ascii="Times New Roman" w:hAnsi="Times New Roman" w:cs="Times New Roman"/>
          <w:sz w:val="28"/>
          <w:szCs w:val="28"/>
        </w:rPr>
        <w:t>вослужбовців Радянської армії, і</w:t>
      </w:r>
      <w:r w:rsidRPr="00277320">
        <w:rPr>
          <w:rFonts w:ascii="Times New Roman" w:hAnsi="Times New Roman" w:cs="Times New Roman"/>
          <w:sz w:val="28"/>
          <w:szCs w:val="28"/>
        </w:rPr>
        <w:t>нших військових формувань та працівників органів внутрішніх справ, які загинули чи пропал</w:t>
      </w:r>
      <w:r>
        <w:rPr>
          <w:rFonts w:ascii="Times New Roman" w:hAnsi="Times New Roman" w:cs="Times New Roman"/>
          <w:sz w:val="28"/>
          <w:szCs w:val="28"/>
        </w:rPr>
        <w:t>и безвісти під час бойових дій, в</w:t>
      </w:r>
      <w:r w:rsidRPr="00277320">
        <w:rPr>
          <w:rFonts w:ascii="Times New Roman" w:hAnsi="Times New Roman" w:cs="Times New Roman"/>
          <w:sz w:val="28"/>
          <w:szCs w:val="28"/>
        </w:rPr>
        <w:t>иконання бойових завдань та інших службових обов’язків, померли від ран,  контузій, каліцтва або захворювань, загинули чи померли в полоні, до якого вони потрапили через незалежні в</w:t>
      </w:r>
      <w:r>
        <w:rPr>
          <w:rFonts w:ascii="Times New Roman" w:hAnsi="Times New Roman" w:cs="Times New Roman"/>
          <w:sz w:val="28"/>
          <w:szCs w:val="28"/>
        </w:rPr>
        <w:t>ід них обставини, та інших осіб, я</w:t>
      </w:r>
      <w:r w:rsidRPr="00277320">
        <w:rPr>
          <w:rFonts w:ascii="Times New Roman" w:hAnsi="Times New Roman" w:cs="Times New Roman"/>
          <w:sz w:val="28"/>
          <w:szCs w:val="28"/>
        </w:rPr>
        <w:t>кі могли б бути визнані ветеранами воєн згідно із законодавством України;</w:t>
      </w:r>
    </w:p>
    <w:p w:rsidR="00E351B5" w:rsidRPr="00277320" w:rsidRDefault="00E351B5" w:rsidP="00D559C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20">
        <w:rPr>
          <w:rFonts w:ascii="Times New Roman" w:hAnsi="Times New Roman" w:cs="Times New Roman"/>
          <w:sz w:val="28"/>
          <w:szCs w:val="28"/>
        </w:rPr>
        <w:t>учасників національно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20">
        <w:rPr>
          <w:rFonts w:ascii="Times New Roman" w:hAnsi="Times New Roman" w:cs="Times New Roman"/>
          <w:sz w:val="28"/>
          <w:szCs w:val="28"/>
        </w:rPr>
        <w:t>- визвольної боротьби  проти іноземних загарбників,</w:t>
      </w:r>
      <w:r w:rsidRPr="00684B0F">
        <w:t xml:space="preserve"> </w:t>
      </w:r>
      <w:r w:rsidRPr="00277320">
        <w:rPr>
          <w:rFonts w:ascii="Times New Roman" w:hAnsi="Times New Roman" w:cs="Times New Roman"/>
          <w:sz w:val="28"/>
          <w:szCs w:val="28"/>
        </w:rPr>
        <w:t xml:space="preserve">жертв нацистських переслідувань та осіб, які визнані жертвами політичних репресій згідно із законодавством України; </w:t>
      </w:r>
    </w:p>
    <w:p w:rsidR="00E351B5" w:rsidRPr="00277320" w:rsidRDefault="00E351B5" w:rsidP="00D559C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20">
        <w:rPr>
          <w:rFonts w:ascii="Times New Roman" w:hAnsi="Times New Roman" w:cs="Times New Roman"/>
          <w:sz w:val="28"/>
          <w:szCs w:val="28"/>
        </w:rPr>
        <w:t xml:space="preserve">цивільних осіб, які загинули під час бойових дій, збройних конфліктів, а також осіб, що були примусово вивезені за кордон, утримувалися там проти своєї волі та загинули чи померли від ран, контузій, каліцтва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20">
        <w:rPr>
          <w:rFonts w:ascii="Times New Roman" w:hAnsi="Times New Roman" w:cs="Times New Roman"/>
          <w:sz w:val="28"/>
          <w:szCs w:val="28"/>
        </w:rPr>
        <w:t>або захворювань.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Програма – це комплекс заходів, що здійснюються на місцевому рівні  з метою фінансової, соціально – психологічної підтримки учасників АТО та членів їх сімей, сприяння вирішенню їх соціально – побутових проблем, вшанування </w:t>
      </w:r>
      <w:r w:rsidRPr="005D1DB8">
        <w:t xml:space="preserve"> </w:t>
      </w:r>
      <w:r w:rsidRPr="005D1DB8">
        <w:rPr>
          <w:rFonts w:ascii="Times New Roman" w:hAnsi="Times New Roman" w:cs="Times New Roman"/>
          <w:sz w:val="28"/>
          <w:szCs w:val="28"/>
        </w:rPr>
        <w:t>пам’яті героїв антитерористичної  операції</w:t>
      </w:r>
      <w:r>
        <w:rPr>
          <w:rFonts w:ascii="Times New Roman" w:hAnsi="Times New Roman" w:cs="Times New Roman"/>
          <w:sz w:val="28"/>
          <w:szCs w:val="28"/>
        </w:rPr>
        <w:t xml:space="preserve"> ( уразі загибелі), </w:t>
      </w:r>
      <w:r w:rsidRPr="005D1DB8">
        <w:rPr>
          <w:rFonts w:ascii="Times New Roman" w:hAnsi="Times New Roman" w:cs="Times New Roman"/>
          <w:sz w:val="28"/>
          <w:szCs w:val="28"/>
        </w:rPr>
        <w:t xml:space="preserve"> жертв воєн та політичних репресій.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Таким чином, Програма на даний час має найважливіше суспільно – політичне значення та потребує залучення фінансових ресурсів бюджетів усіх рівні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51B5" w:rsidRPr="00314C00" w:rsidRDefault="00E351B5" w:rsidP="00604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C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14C00">
        <w:rPr>
          <w:rFonts w:ascii="Times New Roman" w:hAnsi="Times New Roman" w:cs="Times New Roman"/>
          <w:b/>
          <w:bCs/>
          <w:sz w:val="28"/>
          <w:szCs w:val="28"/>
        </w:rPr>
        <w:t>.   Мета Програми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Програми є підвищення рівня соціального захисту учасників АТО, членів їх сімей та родин, у разі загибелі їх членів сім</w:t>
      </w:r>
      <w:r w:rsidRPr="00B8614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під час проведення АТО. Підтримання їх належного морально - психологічного стану,  поліпшення ефективності взаємодії місцевих органів виконавчої влади, органів місцевого самоврядування з регіональними громадськими організаціями та іншими юридичними особами у сфері підтримки учасників АТО та членів їх сімей. Створення у суспільстві атмосфери співчуття, підтримки та шанобливого ставлення до даної категорії громадян.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метою даної Програми є здійснення протягом 2015 року на території Первомайського району обліку місць поховань учасників антитерористичної операції, ведення обліку всіх невідомих поховань жертв воєн та політичних репресій, їх належного впорядкування, збереження та утримання.</w:t>
      </w:r>
    </w:p>
    <w:p w:rsidR="00E351B5" w:rsidRPr="00D559CC" w:rsidRDefault="00E351B5" w:rsidP="00A8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Програми спрямовані на патріотичну консолідацію громадськості, зокрема шляхом вшанування учасників антитерористичної операції. А також висвітлення широкому загалу інформації  про героїв сьогодення, які ціною своїх життів забезпечують неподільність нашої держави, виборюють для країни мир, цілісність та єдність.</w:t>
      </w:r>
    </w:p>
    <w:p w:rsidR="00E351B5" w:rsidRPr="00613DDF" w:rsidRDefault="00E351B5" w:rsidP="00D55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13DD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A3563E">
        <w:rPr>
          <w:rFonts w:ascii="Times New Roman" w:hAnsi="Times New Roman" w:cs="Times New Roman"/>
          <w:b/>
          <w:bCs/>
          <w:sz w:val="28"/>
          <w:szCs w:val="28"/>
        </w:rPr>
        <w:t>Обгрунтування шляхів і за</w:t>
      </w:r>
      <w:r>
        <w:rPr>
          <w:rFonts w:ascii="Times New Roman" w:hAnsi="Times New Roman" w:cs="Times New Roman"/>
          <w:b/>
          <w:bCs/>
          <w:sz w:val="28"/>
          <w:szCs w:val="28"/>
        </w:rPr>
        <w:t>собів  досягнення мети Програми,</w:t>
      </w:r>
      <w:r w:rsidRPr="00A3563E">
        <w:rPr>
          <w:rFonts w:ascii="Times New Roman" w:hAnsi="Times New Roman" w:cs="Times New Roman"/>
          <w:b/>
          <w:bCs/>
          <w:sz w:val="28"/>
          <w:szCs w:val="28"/>
        </w:rPr>
        <w:t xml:space="preserve"> обсяги та джерела фінансування, строки виконання Програми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Мету даної Програми передбачається досягнути наступним чином.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Надання одноразової грошової допомоги пораненим учасникам АТО, членам їх сімей та сім</w:t>
      </w:r>
      <w:r w:rsidRPr="009740B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ям загиблих ( у разі виявлення).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Надання пільг, передбачених чинним законодавством України.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Надання учасникам АТО  та членам їх сімей, у тому числі членам сімей, у разі загибелі учасників АТО, комплексних медичних, психологічних та соціальних послуг.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Забезпечення потреб у медичному обслуговуванні та підтримання рівня здоров</w:t>
      </w:r>
      <w:r w:rsidRPr="00C3285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 учасників АТО, у тому числі через обласні лікувально – санаторні заклади, денні стаціонари, госпіталі ветеранів війни.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Увічнення пам</w:t>
      </w:r>
      <w:r w:rsidRPr="00C3285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яті героїв війни жертв воєн та політичних репресій ( у разі виявлення).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Програми здійснюватиметься за рахунок коштів державного, районного, місцевих бюджетів та залучення коштів за рахунок  інших джерел фінансування, не заборонених  чинним законодавством України.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Термін виконання Програми – 2014- 2015 роки, виконується в один етап.</w:t>
      </w:r>
    </w:p>
    <w:p w:rsidR="00E351B5" w:rsidRDefault="00E351B5" w:rsidP="007170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51B5" w:rsidRDefault="00E351B5" w:rsidP="00D55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14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8614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B8614D">
        <w:rPr>
          <w:rFonts w:ascii="Times New Roman" w:hAnsi="Times New Roman" w:cs="Times New Roman"/>
          <w:b/>
          <w:bCs/>
          <w:sz w:val="28"/>
          <w:szCs w:val="28"/>
        </w:rPr>
        <w:t>Завдання і заходи Пр</w:t>
      </w:r>
      <w:r>
        <w:rPr>
          <w:rFonts w:ascii="Times New Roman" w:hAnsi="Times New Roman" w:cs="Times New Roman"/>
          <w:b/>
          <w:bCs/>
          <w:sz w:val="28"/>
          <w:szCs w:val="28"/>
        </w:rPr>
        <w:t>ограми та результативні показники</w:t>
      </w:r>
    </w:p>
    <w:p w:rsidR="00E351B5" w:rsidRPr="00613DDF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завдань Програми здійснюється шляхом фінансування відповідно до чинного законодавства України за рахунок місцевих бюджетів та інших джерел згідно із заходами, зазначеними у розділі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Також благодійної (спонсорської)допомоги та заходів що не потребують фінансування.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сімей поранених та загиблих  потребують фінансової підтримки та психологічної реабілітації.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Результативний показник Програми – забезпечення всебічної підтримки з боку держави і суспільства зазначеним категоріям громадян, у тому числі дітям загиблих ( постраждалих) учасників АТО, гідне вшанування пам</w:t>
      </w:r>
      <w:r w:rsidRPr="001B5DA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яті полеглих за Батьківщину.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Виконання визначених даною Програмою заходів підвищить рівень соціального захисту, поліпшить соціально – психологічний мікрокліматв родинах сімей загиблих (постраждалих) учасників АТО, а також дасть можливість сім</w:t>
      </w:r>
      <w:r w:rsidRPr="001B5DA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ям отримати додаткові соціальні гарантії та адресні допомоги, 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Сприятиме вирішенню інших соціально- побутових питань.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Також виконання заходів 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1B5" w:rsidRDefault="00E351B5" w:rsidP="00952216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4734">
        <w:rPr>
          <w:rFonts w:ascii="Times New Roman" w:hAnsi="Times New Roman" w:cs="Times New Roman"/>
          <w:b/>
          <w:bCs/>
          <w:sz w:val="28"/>
          <w:szCs w:val="28"/>
        </w:rPr>
        <w:t>Координація та контроль за ходом виконання Програми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Загальний контроль за виконанням Програми здійснюється Первомайською районною радою та  Первомайською районною державною адміністрацією.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Організаційне супроводження виконання Програми у 2014 – 2015 роках  здійснюватиме управління соціального захисту населення Первомайської районної державної адміністрації.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та виконанням Програми здійснюють структурні підрозділи Первомайської районної державної адміністрації, селищний та сільські ради Первомайського району, підприємства та установи Первомайського району.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форми контролю за реалізацією заходів та досягнення показників Програми наступні.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Моніторинг, аналіз та звітність про виконання заходів Програми відповідними структурними підрозділами райдержадміністрації , селищною та сільськими радами Первомайського району, установами, закладами району та надання сектору інформаційної діяльності та комунікацій з громадськістю апарату райдержадміністрації  відповідних інформацій  щомісяця до 30 числа.</w:t>
      </w:r>
    </w:p>
    <w:p w:rsidR="00E351B5" w:rsidRDefault="00E351B5" w:rsidP="00D5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Узагальнення та надання</w:t>
      </w:r>
      <w:r w:rsidRPr="0098291C"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98291C">
        <w:rPr>
          <w:rFonts w:ascii="Times New Roman" w:hAnsi="Times New Roman" w:cs="Times New Roman"/>
          <w:sz w:val="28"/>
          <w:szCs w:val="28"/>
        </w:rPr>
        <w:t xml:space="preserve"> інформаційної діяльності та комунікацій з громадськіс</w:t>
      </w:r>
      <w:r>
        <w:rPr>
          <w:rFonts w:ascii="Times New Roman" w:hAnsi="Times New Roman" w:cs="Times New Roman"/>
          <w:sz w:val="28"/>
          <w:szCs w:val="28"/>
        </w:rPr>
        <w:t>тю апарату райдержадміністрації</w:t>
      </w:r>
      <w:r w:rsidRPr="0098291C">
        <w:rPr>
          <w:rFonts w:ascii="Times New Roman" w:hAnsi="Times New Roman" w:cs="Times New Roman"/>
          <w:sz w:val="28"/>
          <w:szCs w:val="28"/>
        </w:rPr>
        <w:t xml:space="preserve"> відповідн</w:t>
      </w:r>
      <w:r>
        <w:rPr>
          <w:rFonts w:ascii="Times New Roman" w:hAnsi="Times New Roman" w:cs="Times New Roman"/>
          <w:sz w:val="28"/>
          <w:szCs w:val="28"/>
        </w:rPr>
        <w:t>их інформацій щомісяця до 05 числа.</w:t>
      </w:r>
    </w:p>
    <w:p w:rsidR="00E351B5" w:rsidRDefault="00E351B5" w:rsidP="0071701A">
      <w:pPr>
        <w:rPr>
          <w:rFonts w:ascii="Times New Roman" w:hAnsi="Times New Roman" w:cs="Times New Roman"/>
          <w:sz w:val="28"/>
          <w:szCs w:val="28"/>
        </w:rPr>
      </w:pPr>
    </w:p>
    <w:p w:rsidR="00E351B5" w:rsidRDefault="00E351B5" w:rsidP="0071701A">
      <w:pPr>
        <w:rPr>
          <w:rFonts w:ascii="Times New Roman" w:hAnsi="Times New Roman" w:cs="Times New Roman"/>
          <w:sz w:val="28"/>
          <w:szCs w:val="28"/>
        </w:rPr>
        <w:sectPr w:rsidR="00E351B5" w:rsidSect="00D559CC">
          <w:headerReference w:type="default" r:id="rId7"/>
          <w:footerReference w:type="default" r:id="rId8"/>
          <w:pgSz w:w="11906" w:h="16838"/>
          <w:pgMar w:top="851" w:right="851" w:bottom="851" w:left="1418" w:header="709" w:footer="709" w:gutter="0"/>
          <w:pgNumType w:chapStyle="2"/>
          <w:cols w:space="708"/>
          <w:docGrid w:linePitch="360"/>
        </w:sectPr>
      </w:pPr>
      <w:r w:rsidRPr="00613DD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351B5" w:rsidRPr="00A3563E" w:rsidRDefault="00E351B5" w:rsidP="007170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DF">
        <w:rPr>
          <w:rFonts w:ascii="Times New Roman" w:hAnsi="Times New Roman" w:cs="Times New Roman"/>
          <w:sz w:val="28"/>
          <w:szCs w:val="28"/>
        </w:rPr>
        <w:t xml:space="preserve">   </w:t>
      </w:r>
      <w:r w:rsidRPr="00A3563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A3563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A3563E">
        <w:rPr>
          <w:rFonts w:ascii="Times New Roman" w:hAnsi="Times New Roman" w:cs="Times New Roman"/>
          <w:b/>
          <w:bCs/>
          <w:sz w:val="28"/>
          <w:szCs w:val="28"/>
        </w:rPr>
        <w:t>Напрями реалізації та заходи Програми</w:t>
      </w:r>
    </w:p>
    <w:tbl>
      <w:tblPr>
        <w:tblW w:w="15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2406"/>
        <w:gridCol w:w="1490"/>
        <w:gridCol w:w="2264"/>
        <w:gridCol w:w="1971"/>
        <w:gridCol w:w="2598"/>
        <w:gridCol w:w="4251"/>
      </w:tblGrid>
      <w:tr w:rsidR="00E351B5" w:rsidRPr="003C2D98">
        <w:trPr>
          <w:trHeight w:val="1189"/>
        </w:trPr>
        <w:tc>
          <w:tcPr>
            <w:tcW w:w="515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  <w:p w:rsidR="00E351B5" w:rsidRPr="003C2D98" w:rsidRDefault="00E351B5" w:rsidP="00AE395E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90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Термін виконання заходу</w:t>
            </w:r>
          </w:p>
        </w:tc>
        <w:tc>
          <w:tcPr>
            <w:tcW w:w="2264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 Виконавці</w:t>
            </w:r>
          </w:p>
        </w:tc>
        <w:tc>
          <w:tcPr>
            <w:tcW w:w="1971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2598" w:type="dxa"/>
          </w:tcPr>
          <w:p w:rsidR="00E351B5" w:rsidRPr="003C2D98" w:rsidRDefault="00E351B5" w:rsidP="00AE395E">
            <w:pPr>
              <w:ind w:lef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</w:t>
            </w:r>
          </w:p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( вартість) тис. грн</w:t>
            </w:r>
            <w:r w:rsidRPr="003C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E351B5" w:rsidRPr="003C2D98">
        <w:trPr>
          <w:trHeight w:val="336"/>
        </w:trPr>
        <w:tc>
          <w:tcPr>
            <w:tcW w:w="515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1490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2264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4</w:t>
            </w:r>
          </w:p>
        </w:tc>
        <w:tc>
          <w:tcPr>
            <w:tcW w:w="1971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sz w:val="28"/>
                <w:szCs w:val="28"/>
              </w:rPr>
              <w:t xml:space="preserve">             5</w:t>
            </w:r>
          </w:p>
        </w:tc>
        <w:tc>
          <w:tcPr>
            <w:tcW w:w="2598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</w:t>
            </w:r>
          </w:p>
        </w:tc>
        <w:tc>
          <w:tcPr>
            <w:tcW w:w="4252" w:type="dxa"/>
          </w:tcPr>
          <w:p w:rsidR="00E351B5" w:rsidRPr="003C2D98" w:rsidRDefault="00E351B5" w:rsidP="00613DDF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7</w:t>
            </w:r>
          </w:p>
        </w:tc>
      </w:tr>
    </w:tbl>
    <w:p w:rsidR="00E351B5" w:rsidRPr="00EC01E4" w:rsidRDefault="00E351B5" w:rsidP="00274F4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1E4">
        <w:rPr>
          <w:rFonts w:ascii="Times New Roman" w:hAnsi="Times New Roman" w:cs="Times New Roman"/>
          <w:b/>
          <w:bCs/>
          <w:sz w:val="28"/>
          <w:szCs w:val="28"/>
        </w:rPr>
        <w:t xml:space="preserve">РОЗДІЛ </w:t>
      </w:r>
      <w:r w:rsidRPr="00EC01E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23E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1E4">
        <w:rPr>
          <w:rFonts w:ascii="Times New Roman" w:hAnsi="Times New Roman" w:cs="Times New Roman"/>
          <w:b/>
          <w:bCs/>
          <w:sz w:val="28"/>
          <w:szCs w:val="28"/>
        </w:rPr>
        <w:t xml:space="preserve">Соціальна підтримка, медичне обслуговування сімей загиблих учасників антитерористичної </w:t>
      </w:r>
      <w:r>
        <w:rPr>
          <w:rFonts w:ascii="Times New Roman" w:hAnsi="Times New Roman" w:cs="Times New Roman"/>
          <w:b/>
          <w:bCs/>
          <w:sz w:val="28"/>
          <w:szCs w:val="28"/>
        </w:rPr>
        <w:t>операції,</w:t>
      </w:r>
      <w:r w:rsidRPr="002817BC">
        <w:t xml:space="preserve"> </w:t>
      </w:r>
      <w:r w:rsidRPr="002817BC">
        <w:rPr>
          <w:rFonts w:ascii="Times New Roman" w:hAnsi="Times New Roman" w:cs="Times New Roman"/>
          <w:b/>
          <w:bCs/>
          <w:sz w:val="28"/>
          <w:szCs w:val="28"/>
        </w:rPr>
        <w:t>військовослужбовців і поранених учасників АТО</w:t>
      </w:r>
    </w:p>
    <w:tbl>
      <w:tblPr>
        <w:tblW w:w="15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411"/>
        <w:gridCol w:w="202"/>
        <w:gridCol w:w="1357"/>
        <w:gridCol w:w="2126"/>
        <w:gridCol w:w="2126"/>
        <w:gridCol w:w="2552"/>
        <w:gridCol w:w="4371"/>
      </w:tblGrid>
      <w:tr w:rsidR="00E351B5" w:rsidRPr="003C2D98">
        <w:trPr>
          <w:trHeight w:val="285"/>
        </w:trPr>
        <w:tc>
          <w:tcPr>
            <w:tcW w:w="15700" w:type="dxa"/>
            <w:gridSpan w:val="8"/>
          </w:tcPr>
          <w:p w:rsidR="00E351B5" w:rsidRPr="003C2D98" w:rsidRDefault="00E351B5" w:rsidP="00D559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Соціальний захист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274F4D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Розроблення та затвердження в установленому порядку районної Програми соціальної підтримки сімей загиблих учасників антитерористичної операції, військовослужбовців і поранених учасників АТО та вшанування пам’яті</w:t>
            </w:r>
            <w:r w:rsidRPr="003C2D98"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героїв антитерористичної  операції, жертв воєн та політичних репресій на 2014 - 2015 роки</w:t>
            </w:r>
          </w:p>
        </w:tc>
        <w:tc>
          <w:tcPr>
            <w:tcW w:w="1357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До  19.11.2014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Сектор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Державний, районний , місцеві бюджети та інші джерела фінансування не заборонені чинним законодавством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 та залучення позабюджетних коштів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Забезпечення належного соціального захисту, медичного, культурного,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освітнього обслуговування військовослужбовців і сімей загиблих учасників антитерористичної операції, поранених учасників АТО.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Вшанування пам</w:t>
            </w:r>
            <w:r w:rsidRPr="003C2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яті загиблих учасників АТО, жертв воєн та політичних репресій.</w:t>
            </w:r>
          </w:p>
        </w:tc>
      </w:tr>
      <w:tr w:rsidR="00E351B5" w:rsidRPr="003C2D98">
        <w:trPr>
          <w:trHeight w:val="2141"/>
        </w:trPr>
        <w:tc>
          <w:tcPr>
            <w:tcW w:w="555" w:type="dxa"/>
          </w:tcPr>
          <w:p w:rsidR="00E351B5" w:rsidRPr="00274F4D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629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ьної допомоги сім’ям загиблих 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 разі виявлення) та поранених учасників АТО згідн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законодавства</w:t>
            </w:r>
          </w:p>
        </w:tc>
        <w:tc>
          <w:tcPr>
            <w:tcW w:w="1357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2014- 2015 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Управління  соціального захисту населення райдержадміністрації, фінансове управління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асигнувань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Матеріальна підтримка членів сімей загиблих та поранених учасників АТО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C23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</w:t>
            </w:r>
            <w:r w:rsidRPr="003C2D98"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дітям загиблих  згідно районної  Програми «Турбота»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розмірі п’ять прожиткових мінімумів для дітей відповідного віку</w:t>
            </w:r>
          </w:p>
        </w:tc>
        <w:tc>
          <w:tcPr>
            <w:tcW w:w="1357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2014- 2015 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Управління  соціального захисту населення райдержадміністрації, фінансове управління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асигнувань</w:t>
            </w:r>
          </w:p>
        </w:tc>
        <w:tc>
          <w:tcPr>
            <w:tcW w:w="4371" w:type="dxa"/>
          </w:tcPr>
          <w:p w:rsidR="00E351B5" w:rsidRPr="003C2D98" w:rsidRDefault="00E351B5" w:rsidP="0028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Матеріальна підтримка дітей загиблих та поранених учасників АТО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274F4D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Виявлення та облік членів сімей загиблих учасників АТО, які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ебують поліпшення житлових умов,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 але не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ребувають на квартирному обліку</w:t>
            </w:r>
          </w:p>
        </w:tc>
        <w:tc>
          <w:tcPr>
            <w:tcW w:w="1357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Селищна та сільські ради( за узгодженням), управління соціального захисту населення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Обстеження житлових умов членів сімей загиблих учасників АТО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274F4D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житлових умов учасників АТО та членів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їх сімей, які цього потребують</w:t>
            </w:r>
          </w:p>
        </w:tc>
        <w:tc>
          <w:tcPr>
            <w:tcW w:w="1357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Pr="003C2D98" w:rsidRDefault="00E351B5" w:rsidP="008B3A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Селищна та сільські ради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бюджети, позабюджетні кошти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 із залученням коштів не бюджетних джерел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житлових умов учасників АТО та членів їх сімей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274F4D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Забезпечення учасникам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 та членам сімей загиблих 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 разі виявлення) можливості реалізувати право на безоплатну передачу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га)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 із державної 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( комунальної) власності для будівництва та обслуговування житлового будинку, господарських будівель і споруд 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присадибна ділянка)</w:t>
            </w:r>
          </w:p>
        </w:tc>
        <w:tc>
          <w:tcPr>
            <w:tcW w:w="1357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Управління Держземагенства у Первомайському районі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узгодженням),</w:t>
            </w:r>
          </w:p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та сільські ради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майнового стану учасників АТО та членів сімей загиблих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банк даних учасників АТО, членів  їх сімей, з метою звільнення від сплати за послуги  з утримання житлових будинків та споруд  </w:t>
            </w:r>
          </w:p>
        </w:tc>
        <w:tc>
          <w:tcPr>
            <w:tcW w:w="1357" w:type="dxa"/>
          </w:tcPr>
          <w:p w:rsidR="00E351B5" w:rsidRPr="003C2D98" w:rsidRDefault="00E351B5" w:rsidP="006B04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6B04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Відділ містобудування, архітектури,  житлово – комунального господарства, розвитку інфраструктури та з питань надзвичайних ситуацій райдержадміністрації, Первомайсько – Врадіївський об’єднаний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айонний військовий комісаріат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майнового стану учасників АТО та членів сімей загиблих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банк даних про надання дозволів на розробку проектної документації землеустрою по передачі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(2га)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 у власність учасникам АТО, членам сімей загиблих учасників АТО</w:t>
            </w:r>
          </w:p>
        </w:tc>
        <w:tc>
          <w:tcPr>
            <w:tcW w:w="1357" w:type="dxa"/>
          </w:tcPr>
          <w:p w:rsidR="00E351B5" w:rsidRPr="003C2D98" w:rsidRDefault="00E351B5" w:rsidP="00810C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810C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Управління Держземаген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тства у Первомайському районі </w:t>
            </w:r>
          </w:p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за узгодженням), </w:t>
            </w:r>
          </w:p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Первомайсько– Врадіївський об’єднаний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айонний військовий комісаріат 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майнового стану учасників АТО та членів сімей загиблих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безкоштовним харчуванням вихованців дошкільних навчальних закладів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вихованців дошкільних підрозділів НВК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 числа дітей військовослужбовців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які загинули під час проведення АТО</w:t>
            </w:r>
          </w:p>
        </w:tc>
        <w:tc>
          <w:tcPr>
            <w:tcW w:w="1357" w:type="dxa"/>
          </w:tcPr>
          <w:p w:rsidR="00E351B5" w:rsidRPr="003C2D98" w:rsidRDefault="00E351B5" w:rsidP="003A45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3A45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Відділ освіти райдержадміністрації, селищна та сільські ради( за узгодженням)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соціального захисту сімей загиблих військовослужбовців  під час проведення АТО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на безоплатній основі дітей учасників АТО в спортивні секції дитячо-юнацької спортивної школи та дитячі школи мистецтв району</w:t>
            </w:r>
          </w:p>
        </w:tc>
        <w:tc>
          <w:tcPr>
            <w:tcW w:w="1357" w:type="dxa"/>
          </w:tcPr>
          <w:p w:rsidR="00E351B5" w:rsidRPr="003C2D98" w:rsidRDefault="00E351B5" w:rsidP="007A75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7A75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культури райдержадміністрації, сектор молоді і спорту райдержадміністрації, селищна та сільські ради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узгодженням)</w:t>
            </w:r>
          </w:p>
        </w:tc>
        <w:tc>
          <w:tcPr>
            <w:tcW w:w="2126" w:type="dxa"/>
          </w:tcPr>
          <w:p w:rsidR="00E351B5" w:rsidRPr="003C2D98" w:rsidRDefault="00E351B5" w:rsidP="000840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0840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0840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захист сімей загиблих учасників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D559CC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55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Першочергове влаштування до дошкільних  навчальних закладів  дітей дошкільного віку, один з батьків – військовослужбовців, яких знаходиться в зоні АТО або загинув в АТО</w:t>
            </w:r>
          </w:p>
        </w:tc>
        <w:tc>
          <w:tcPr>
            <w:tcW w:w="1357" w:type="dxa"/>
          </w:tcPr>
          <w:p w:rsidR="00E351B5" w:rsidRPr="003C2D98" w:rsidRDefault="00E351B5" w:rsidP="002D6F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2D6F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Відділ освіти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Соціальний захист сімей загиблих учасників бойових дій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7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Надання безоплатної правової допомоги щодо захисту прав постраждалих, членів сімей загиблих під час проведення АТО.</w:t>
            </w:r>
          </w:p>
        </w:tc>
        <w:tc>
          <w:tcPr>
            <w:tcW w:w="1357" w:type="dxa"/>
          </w:tcPr>
          <w:p w:rsidR="00E351B5" w:rsidRPr="003C2D98" w:rsidRDefault="00E351B5" w:rsidP="00DB4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DB4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Первомайське міськрайонне управління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стиції  Миколаївської області 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Правова допомога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7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Надання комплексу соціальних послуг сім’ям загибли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військовослужбовців 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 разі виявлення) і поранених учасників АТО</w:t>
            </w:r>
          </w:p>
        </w:tc>
        <w:tc>
          <w:tcPr>
            <w:tcW w:w="1357" w:type="dxa"/>
          </w:tcPr>
          <w:p w:rsidR="00E351B5" w:rsidRPr="003C2D98" w:rsidRDefault="00E351B5" w:rsidP="00DB4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DB4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Центр соціальних служб для сім</w:t>
            </w:r>
            <w:r w:rsidRPr="003C2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’ї, дітей та молоді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Запобігання  потраплянню сімей у категорію тих, що перебувають у складних життєвих обставинах, коли батьки не можуть належним чином вико</w:t>
            </w:r>
            <w:bookmarkStart w:id="0" w:name="_GoBack"/>
            <w:bookmarkEnd w:id="0"/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нувати батьківські 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'язки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7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Надання допомоги сім</w:t>
            </w:r>
            <w:r w:rsidRPr="003C2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ям, у разі загибелі учасників АТО та померлих в результаті поранення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 проведення похорону</w:t>
            </w:r>
          </w:p>
        </w:tc>
        <w:tc>
          <w:tcPr>
            <w:tcW w:w="1357" w:type="dxa"/>
          </w:tcPr>
          <w:p w:rsidR="00E351B5" w:rsidRPr="003C2D98" w:rsidRDefault="00E351B5" w:rsidP="00244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244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Селищна та сільські ради </w:t>
            </w:r>
          </w:p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(за узгодженням)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бюджети, позабюджетні кошти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 із залученням не бюджетних коштів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Виявлення гуманізму, співчуття та взаємопідтрим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сімей загиблих учасників АТО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7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Надання необхідної допомоги  у працевлаштуванні, сприяння  у професійній підготовці, перепідготовці, підвищенні кваліфікації, залучення до участі у громадських та тимчасових роботах  учасників АТО та членів їх сімей</w:t>
            </w:r>
          </w:p>
        </w:tc>
        <w:tc>
          <w:tcPr>
            <w:tcW w:w="1357" w:type="dxa"/>
          </w:tcPr>
          <w:p w:rsidR="00E351B5" w:rsidRPr="003C2D98" w:rsidRDefault="00E351B5" w:rsidP="00244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244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Первомайський міськрайонний центр зайнятості населення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Сприяння соціалізації громадян, які зазнали стресових впливів</w:t>
            </w:r>
          </w:p>
        </w:tc>
      </w:tr>
      <w:tr w:rsidR="00E351B5" w:rsidRPr="003C2D98">
        <w:trPr>
          <w:trHeight w:val="285"/>
        </w:trPr>
        <w:tc>
          <w:tcPr>
            <w:tcW w:w="15700" w:type="dxa"/>
            <w:gridSpan w:val="8"/>
          </w:tcPr>
          <w:p w:rsidR="00E351B5" w:rsidRPr="003C2D98" w:rsidRDefault="00E351B5" w:rsidP="00D559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Медичне   обслуговування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7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E351B5" w:rsidRPr="003C2D98" w:rsidRDefault="00E351B5" w:rsidP="00B712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Надання безоплатної кваліфікованої  медичної допомоги військовослужбовцям і пораненим учасникам АТО медичними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закладами Первомайського району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884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884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BF2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Центральна районна лікарня, центр медико –</w:t>
            </w:r>
            <w:r w:rsidRPr="003C2D98"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первинної санітарної допомоги ( за узгодженням)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індикативних показників здоров</w:t>
            </w:r>
            <w:r w:rsidRPr="003C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Здійснення заходів щодо безкоштовної диспансеризації військовослужбовців  і поранених учасників АТО,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членів їх сімей.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1C4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1C4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BF2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Центральна районна лікарня</w:t>
            </w:r>
            <w:r w:rsidRPr="003C2D98">
              <w:t xml:space="preserve">,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центр медико –</w:t>
            </w:r>
            <w:r w:rsidRPr="003C2D98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первинної санітарної допомоги 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індикативних показників здоров’я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Надання стаціонарної медичної допомоги на базі обласного госпіталю для інвалідів Вітчизняної   війни та спеціалізованих ліжок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лікування ветеранів війни та в філії обласного госпіталю для інвалідів Вітчизняної війни на базі ЦРЛ (терапевтичне відділення)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1C4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1C4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BF2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Центральна районна лікарня,</w:t>
            </w:r>
            <w:r w:rsidRPr="003C2D98"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центр медико –</w:t>
            </w:r>
            <w:r w:rsidRPr="003C2D98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первинної санітарної допомоги</w:t>
            </w:r>
          </w:p>
          <w:p w:rsidR="00E351B5" w:rsidRPr="003C2D98" w:rsidRDefault="00E351B5" w:rsidP="00BF2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індикативних показників здоров’я</w:t>
            </w:r>
          </w:p>
        </w:tc>
      </w:tr>
      <w:tr w:rsidR="00E351B5" w:rsidRPr="003C2D98">
        <w:trPr>
          <w:trHeight w:val="2790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Своєчасне надання медичних довідок щодо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позачергового санаторно – курортного лікування дітей – інвалідів із сімей  учасників АТО,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наявності медичних показників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532E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532E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BF2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Центральна районна лікарня,</w:t>
            </w:r>
            <w:r w:rsidRPr="003C2D98"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центр медико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первинної санітарної допомоги </w:t>
            </w:r>
          </w:p>
          <w:p w:rsidR="00E351B5" w:rsidRPr="003C2D98" w:rsidRDefault="00E351B5" w:rsidP="00BF2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</w:t>
            </w:r>
          </w:p>
        </w:tc>
        <w:tc>
          <w:tcPr>
            <w:tcW w:w="2126" w:type="dxa"/>
          </w:tcPr>
          <w:p w:rsidR="00E351B5" w:rsidRPr="003C2D98" w:rsidRDefault="00E351B5" w:rsidP="001C4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Поліпшення індикативних показників здоров’я дітей із сімей учасників АТО</w:t>
            </w:r>
          </w:p>
        </w:tc>
      </w:tr>
      <w:tr w:rsidR="00E351B5" w:rsidRPr="003C2D98">
        <w:trPr>
          <w:trHeight w:val="15"/>
        </w:trPr>
        <w:tc>
          <w:tcPr>
            <w:tcW w:w="555" w:type="dxa"/>
            <w:tcBorders>
              <w:right w:val="nil"/>
            </w:tcBorders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gridSpan w:val="6"/>
            <w:tcBorders>
              <w:left w:val="nil"/>
            </w:tcBorders>
          </w:tcPr>
          <w:p w:rsidR="00E351B5" w:rsidRPr="003C2D98" w:rsidRDefault="00E351B5" w:rsidP="00D559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</w:t>
            </w: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Вшанування пам’яті загиблих учасників АТО</w:t>
            </w:r>
          </w:p>
        </w:tc>
      </w:tr>
      <w:tr w:rsidR="00E351B5" w:rsidRPr="003C2D98">
        <w:trPr>
          <w:trHeight w:val="2247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Систематичне висвітлення  у засобах масової інформації стану виконання  заходів даної Програми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2C0D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2C0D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1C4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Поінформованість населення про виконання заходів даної Програми</w:t>
            </w:r>
          </w:p>
        </w:tc>
      </w:tr>
      <w:tr w:rsidR="00E351B5" w:rsidRPr="003C2D98">
        <w:trPr>
          <w:trHeight w:val="2247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7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351B5" w:rsidRPr="003C2D98" w:rsidRDefault="00E351B5" w:rsidP="002C12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Створити  на веб – сайті РДА вкладку</w:t>
            </w:r>
          </w:p>
          <w:p w:rsidR="00E351B5" w:rsidRPr="003C2D98" w:rsidRDefault="00E351B5" w:rsidP="002C12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« Гаряча лінія »  для учасників АТО та членів  їх сімей.</w:t>
            </w:r>
          </w:p>
          <w:p w:rsidR="00E351B5" w:rsidRPr="003C2D98" w:rsidRDefault="00E351B5" w:rsidP="002C12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Забезпечити  висвітлення заходів  з увічнення пам’яті учасників антитерористичної операції, жертв воєн та політичних репресій в Первомайському районі на веб – сайті райдержадмін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істрації  у вкладках «Новини». «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Гаряча лінія »  для учасників АТО та їх сімей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2C12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2C12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1C4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Поінформованість населення про виконання заходів даної Програми</w:t>
            </w:r>
          </w:p>
        </w:tc>
      </w:tr>
      <w:tr w:rsidR="00E351B5" w:rsidRPr="003C2D98">
        <w:trPr>
          <w:trHeight w:val="2247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Забезпечити підготовку циклів тематичних публікацій у друкованих ЗМІ про героїв АТО, їх життя та відданість Україні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BF2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BF21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Комуналь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газета «Прибузький вісник» 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 )</w:t>
            </w:r>
          </w:p>
        </w:tc>
        <w:tc>
          <w:tcPr>
            <w:tcW w:w="2126" w:type="dxa"/>
          </w:tcPr>
          <w:p w:rsidR="00E351B5" w:rsidRPr="003C2D98" w:rsidRDefault="00E351B5" w:rsidP="001C4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Згідно договору щодо надання послуг з виготовле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 та розміщення інформаційно-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аналітичних матеріалів  № 6/2014-Т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шанування пам</w:t>
            </w:r>
            <w:r w:rsidRPr="003C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яті героїв АТО</w:t>
            </w:r>
          </w:p>
        </w:tc>
      </w:tr>
      <w:tr w:rsidR="00E351B5" w:rsidRPr="003C2D98">
        <w:trPr>
          <w:trHeight w:val="405"/>
        </w:trPr>
        <w:tc>
          <w:tcPr>
            <w:tcW w:w="15700" w:type="dxa"/>
            <w:gridSpan w:val="8"/>
          </w:tcPr>
          <w:p w:rsidR="00E351B5" w:rsidRPr="003C2D98" w:rsidRDefault="00E351B5" w:rsidP="00D559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Увічнення пам’яті про загиблих героїв АТО, жертв воєн та політичних репресій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Встановлення на території населених  пунктів району пам</w:t>
            </w:r>
            <w:r w:rsidRPr="003C2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’ятних знаків, меморіальних дошок загиблим героям - АТО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532E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532E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Селищна та сільські ради </w:t>
            </w:r>
          </w:p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 )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Місцеві бюджети, позабюджетні кошти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 із залученням не бюджетних коштів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Увічнення пам</w:t>
            </w:r>
            <w:r w:rsidRPr="003C2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яті про загиблих героїв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7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Забезпечити збір, обробку та систематизацію інформації про осіб, які загинули внаслідок проведення антитерористичної операції, формування єдиного банку даних місць поховань учасників АТО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7C01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7C01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Default="00E351B5" w:rsidP="007C01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Первомайсько – Врадіївський об’єднаний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айонний військовий комісаріат </w:t>
            </w:r>
          </w:p>
          <w:p w:rsidR="00E351B5" w:rsidRPr="003C2D98" w:rsidRDefault="00E351B5" w:rsidP="007C01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узгодженням), селищний та сільські голови</w:t>
            </w:r>
          </w:p>
          <w:p w:rsidR="00E351B5" w:rsidRPr="003C2D98" w:rsidRDefault="00E351B5" w:rsidP="007C01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 узгодженням), відділ містобудування, архітектури, житлово – комунального господарства, розвитку інфраструктури та з питань надзвичайних ситуацій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Увічнення пам’яті про загиблих героїв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Продовжувати облік, існуючих облікових поховань учасників АТО, жертв воєн та політичних репресій, а також поховань іноземців, які загинули внаслідок воєн, депортацій, перебування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таборах для військовополонених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61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61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D829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Відділ містоб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удування, архітектури,  житлово–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господарства, розвитку інфраструктури та з питань надзвичайних ситуацій райдержадміністрації, </w:t>
            </w:r>
          </w:p>
          <w:p w:rsidR="00E351B5" w:rsidRPr="003C2D98" w:rsidRDefault="00E351B5" w:rsidP="00D829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сектор культури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Увічнення пам’яті про загиблих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оїв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Проводити роботи з упорядкування та благоустрою поховань жертв воєн та політичних репресій, збереження пам’ятників та інших місць, пов’язаних з увічненням пам’яті жертв воєн та політичних репресій. забезпечити їх належну охорону та утримання в належному санітарному стані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61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61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61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Відділ містобудування, архітектури, житлово – комунального господарства, розвитку інфраструктури та з питань надзвичайних ситуацій райдержадміністрації, селищний та сільські голови </w:t>
            </w:r>
          </w:p>
          <w:p w:rsidR="00E351B5" w:rsidRPr="003C2D98" w:rsidRDefault="00E351B5" w:rsidP="0061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(за узгодженням),</w:t>
            </w:r>
          </w:p>
          <w:p w:rsidR="00E351B5" w:rsidRPr="003C2D98" w:rsidRDefault="00E351B5" w:rsidP="0061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сектор культури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Увічнення пам’яті про загиблих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оїв</w:t>
            </w:r>
          </w:p>
        </w:tc>
      </w:tr>
      <w:tr w:rsidR="00E351B5" w:rsidRPr="003C2D98">
        <w:trPr>
          <w:trHeight w:val="285"/>
        </w:trPr>
        <w:tc>
          <w:tcPr>
            <w:tcW w:w="15700" w:type="dxa"/>
            <w:gridSpan w:val="8"/>
          </w:tcPr>
          <w:p w:rsidR="00E351B5" w:rsidRPr="003C2D98" w:rsidRDefault="00E351B5" w:rsidP="00D559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Збереження історичної пам</w:t>
            </w: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’</w:t>
            </w: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яті про земляків – героїв – учасників АТО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Забезпечити створення тематичних полиць з увічнення пам’яті учасників</w:t>
            </w:r>
            <w:r w:rsidRPr="003C2D98"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антитерористичної операції в  бібліотеках району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823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823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Сектор  культури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Підвищення рівня патріотизму  серед населення</w:t>
            </w:r>
          </w:p>
        </w:tc>
      </w:tr>
      <w:tr w:rsidR="00E351B5" w:rsidRPr="003C2D98">
        <w:trPr>
          <w:trHeight w:val="285"/>
        </w:trPr>
        <w:tc>
          <w:tcPr>
            <w:tcW w:w="555" w:type="dxa"/>
          </w:tcPr>
          <w:p w:rsidR="00E351B5" w:rsidRPr="00B37725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7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Забезпечити створення, функціонування та оновлення експозицій шкільних музеїв з увічнення пам’яті учасників антитерористичної операції, жертв воєн та політичних репресій</w:t>
            </w:r>
          </w:p>
        </w:tc>
        <w:tc>
          <w:tcPr>
            <w:tcW w:w="1559" w:type="dxa"/>
            <w:gridSpan w:val="2"/>
          </w:tcPr>
          <w:p w:rsidR="00E351B5" w:rsidRPr="003C2D98" w:rsidRDefault="00E351B5" w:rsidP="005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5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Відділ освіти райдержадміністрації</w:t>
            </w:r>
          </w:p>
        </w:tc>
        <w:tc>
          <w:tcPr>
            <w:tcW w:w="2126" w:type="dxa"/>
          </w:tcPr>
          <w:p w:rsidR="00E351B5" w:rsidRPr="003C2D98" w:rsidRDefault="00E351B5" w:rsidP="00D80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552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371" w:type="dxa"/>
          </w:tcPr>
          <w:p w:rsidR="00E351B5" w:rsidRPr="003C2D98" w:rsidRDefault="00E351B5" w:rsidP="00EC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рівня патріотизму  серед </w:t>
            </w:r>
            <w:r w:rsidRPr="003C2D98"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учнівської молоді</w:t>
            </w:r>
          </w:p>
        </w:tc>
      </w:tr>
    </w:tbl>
    <w:p w:rsidR="00E351B5" w:rsidRDefault="00E351B5" w:rsidP="00EC01E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2451"/>
        <w:gridCol w:w="1519"/>
        <w:gridCol w:w="2428"/>
        <w:gridCol w:w="2142"/>
        <w:gridCol w:w="2564"/>
        <w:gridCol w:w="4206"/>
      </w:tblGrid>
      <w:tr w:rsidR="00E351B5" w:rsidRPr="003C2D98">
        <w:trPr>
          <w:trHeight w:val="345"/>
        </w:trPr>
        <w:tc>
          <w:tcPr>
            <w:tcW w:w="15830" w:type="dxa"/>
            <w:gridSpan w:val="7"/>
          </w:tcPr>
          <w:p w:rsidR="00E351B5" w:rsidRPr="003C2D98" w:rsidRDefault="00E351B5" w:rsidP="00D559CC">
            <w:pPr>
              <w:pStyle w:val="NoSpacing"/>
              <w:ind w:left="-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Патріотичне виховання молодого покоління</w:t>
            </w:r>
          </w:p>
        </w:tc>
      </w:tr>
      <w:tr w:rsidR="00E351B5" w:rsidRPr="003C2D98">
        <w:trPr>
          <w:trHeight w:val="345"/>
        </w:trPr>
        <w:tc>
          <w:tcPr>
            <w:tcW w:w="525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0" w:type="dxa"/>
          </w:tcPr>
          <w:p w:rsidR="00E351B5" w:rsidRPr="003C2D98" w:rsidRDefault="00E351B5" w:rsidP="008069EA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Організація зустрічей з учасниками  АТО, волонтерами, які надають їм допомогу, членами сімей загиблих воїнів,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ранів воєн з учнівською молоддю</w:t>
            </w:r>
          </w:p>
        </w:tc>
        <w:tc>
          <w:tcPr>
            <w:tcW w:w="1545" w:type="dxa"/>
          </w:tcPr>
          <w:p w:rsidR="00E351B5" w:rsidRPr="003C2D98" w:rsidRDefault="00E351B5" w:rsidP="008069EA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8069EA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220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Відділ освіти райдержадміністрації</w:t>
            </w:r>
          </w:p>
        </w:tc>
        <w:tc>
          <w:tcPr>
            <w:tcW w:w="2175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610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295" w:type="dxa"/>
          </w:tcPr>
          <w:p w:rsidR="00E351B5" w:rsidRPr="003C2D98" w:rsidRDefault="00E351B5" w:rsidP="00B95129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Виховання патріотизму в учнівської молоді</w:t>
            </w:r>
          </w:p>
        </w:tc>
      </w:tr>
      <w:tr w:rsidR="00E351B5" w:rsidRPr="003C2D98">
        <w:trPr>
          <w:trHeight w:val="345"/>
        </w:trPr>
        <w:tc>
          <w:tcPr>
            <w:tcW w:w="525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0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Проведення лінійок,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уроків пам’яті, конференцій,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засідань за  круглим столом, виховних годин, конкурсів творів, патріотичні акції  та інші заходи  з  увічнення пам’яті учасників антитерористичної операції, жертв воєн та політичних репресій</w:t>
            </w:r>
          </w:p>
        </w:tc>
        <w:tc>
          <w:tcPr>
            <w:tcW w:w="1545" w:type="dxa"/>
          </w:tcPr>
          <w:p w:rsidR="00E351B5" w:rsidRPr="003C2D98" w:rsidRDefault="00E351B5" w:rsidP="008069EA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</w:p>
          <w:p w:rsidR="00E351B5" w:rsidRPr="003C2D98" w:rsidRDefault="00E351B5" w:rsidP="008069EA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220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Відділ освіти райдержадміністрації</w:t>
            </w:r>
          </w:p>
        </w:tc>
        <w:tc>
          <w:tcPr>
            <w:tcW w:w="2175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610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4295" w:type="dxa"/>
          </w:tcPr>
          <w:p w:rsidR="00E351B5" w:rsidRPr="003C2D98" w:rsidRDefault="00E351B5" w:rsidP="00582C5D">
            <w:pPr>
              <w:pStyle w:val="NoSpacing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8">
              <w:rPr>
                <w:rFonts w:ascii="Times New Roman" w:hAnsi="Times New Roman" w:cs="Times New Roman"/>
                <w:sz w:val="24"/>
                <w:szCs w:val="24"/>
              </w:rPr>
              <w:t>Виховання патріотизму у дітей та молоді</w:t>
            </w:r>
          </w:p>
        </w:tc>
      </w:tr>
    </w:tbl>
    <w:p w:rsidR="00E351B5" w:rsidRPr="008069EA" w:rsidRDefault="00E351B5" w:rsidP="00D55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sectPr w:rsidR="00E351B5" w:rsidRPr="008069EA" w:rsidSect="00D559CC">
      <w:pgSz w:w="16838" w:h="11906" w:orient="landscape"/>
      <w:pgMar w:top="1418" w:right="851" w:bottom="851" w:left="851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B5" w:rsidRDefault="00E351B5" w:rsidP="007A2CCC">
      <w:pPr>
        <w:spacing w:after="0" w:line="240" w:lineRule="auto"/>
      </w:pPr>
      <w:r>
        <w:separator/>
      </w:r>
    </w:p>
  </w:endnote>
  <w:endnote w:type="continuationSeparator" w:id="0">
    <w:p w:rsidR="00E351B5" w:rsidRDefault="00E351B5" w:rsidP="007A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5" w:rsidRDefault="00E351B5" w:rsidP="00CF748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E351B5" w:rsidRDefault="00E351B5" w:rsidP="00CF74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B5" w:rsidRDefault="00E351B5" w:rsidP="007A2CCC">
      <w:pPr>
        <w:spacing w:after="0" w:line="240" w:lineRule="auto"/>
      </w:pPr>
      <w:r>
        <w:separator/>
      </w:r>
    </w:p>
  </w:footnote>
  <w:footnote w:type="continuationSeparator" w:id="0">
    <w:p w:rsidR="00E351B5" w:rsidRDefault="00E351B5" w:rsidP="007A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5" w:rsidRPr="00CF7485" w:rsidRDefault="00E351B5">
    <w:pPr>
      <w:pStyle w:val="Header"/>
      <w:rPr>
        <w:lang w:val="ru-RU"/>
      </w:rPr>
    </w:pPr>
  </w:p>
  <w:p w:rsidR="00E351B5" w:rsidRPr="00CF7485" w:rsidRDefault="00E351B5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55C"/>
    <w:multiLevelType w:val="hybridMultilevel"/>
    <w:tmpl w:val="2BB40E24"/>
    <w:lvl w:ilvl="0" w:tplc="0EC2891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>
    <w:nsid w:val="3DAC2D21"/>
    <w:multiLevelType w:val="hybridMultilevel"/>
    <w:tmpl w:val="996AED6A"/>
    <w:lvl w:ilvl="0" w:tplc="A5C02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562"/>
    <w:multiLevelType w:val="hybridMultilevel"/>
    <w:tmpl w:val="5218E2DC"/>
    <w:lvl w:ilvl="0" w:tplc="580C39B6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825" w:hanging="360"/>
      </w:pPr>
    </w:lvl>
    <w:lvl w:ilvl="2" w:tplc="0422001B">
      <w:start w:val="1"/>
      <w:numFmt w:val="lowerRoman"/>
      <w:lvlText w:val="%3."/>
      <w:lvlJc w:val="right"/>
      <w:pPr>
        <w:ind w:left="4545" w:hanging="180"/>
      </w:pPr>
    </w:lvl>
    <w:lvl w:ilvl="3" w:tplc="0422000F">
      <w:start w:val="1"/>
      <w:numFmt w:val="decimal"/>
      <w:lvlText w:val="%4."/>
      <w:lvlJc w:val="left"/>
      <w:pPr>
        <w:ind w:left="5265" w:hanging="360"/>
      </w:pPr>
    </w:lvl>
    <w:lvl w:ilvl="4" w:tplc="04220019">
      <w:start w:val="1"/>
      <w:numFmt w:val="lowerLetter"/>
      <w:lvlText w:val="%5."/>
      <w:lvlJc w:val="left"/>
      <w:pPr>
        <w:ind w:left="5985" w:hanging="360"/>
      </w:pPr>
    </w:lvl>
    <w:lvl w:ilvl="5" w:tplc="0422001B">
      <w:start w:val="1"/>
      <w:numFmt w:val="lowerRoman"/>
      <w:lvlText w:val="%6."/>
      <w:lvlJc w:val="right"/>
      <w:pPr>
        <w:ind w:left="6705" w:hanging="180"/>
      </w:pPr>
    </w:lvl>
    <w:lvl w:ilvl="6" w:tplc="0422000F">
      <w:start w:val="1"/>
      <w:numFmt w:val="decimal"/>
      <w:lvlText w:val="%7."/>
      <w:lvlJc w:val="left"/>
      <w:pPr>
        <w:ind w:left="7425" w:hanging="360"/>
      </w:pPr>
    </w:lvl>
    <w:lvl w:ilvl="7" w:tplc="04220019">
      <w:start w:val="1"/>
      <w:numFmt w:val="lowerLetter"/>
      <w:lvlText w:val="%8."/>
      <w:lvlJc w:val="left"/>
      <w:pPr>
        <w:ind w:left="8145" w:hanging="360"/>
      </w:pPr>
    </w:lvl>
    <w:lvl w:ilvl="8" w:tplc="0422001B">
      <w:start w:val="1"/>
      <w:numFmt w:val="lowerRoman"/>
      <w:lvlText w:val="%9."/>
      <w:lvlJc w:val="right"/>
      <w:pPr>
        <w:ind w:left="8865" w:hanging="180"/>
      </w:pPr>
    </w:lvl>
  </w:abstractNum>
  <w:abstractNum w:abstractNumId="3">
    <w:nsid w:val="4CD84FA2"/>
    <w:multiLevelType w:val="hybridMultilevel"/>
    <w:tmpl w:val="734E06EA"/>
    <w:lvl w:ilvl="0" w:tplc="29121ABE">
      <w:start w:val="1"/>
      <w:numFmt w:val="upperRoman"/>
      <w:lvlText w:val="%1."/>
      <w:lvlJc w:val="left"/>
      <w:pPr>
        <w:ind w:left="3030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390" w:hanging="360"/>
      </w:pPr>
    </w:lvl>
    <w:lvl w:ilvl="2" w:tplc="0422001B">
      <w:start w:val="1"/>
      <w:numFmt w:val="lowerRoman"/>
      <w:lvlText w:val="%3."/>
      <w:lvlJc w:val="right"/>
      <w:pPr>
        <w:ind w:left="4110" w:hanging="180"/>
      </w:pPr>
    </w:lvl>
    <w:lvl w:ilvl="3" w:tplc="0422000F">
      <w:start w:val="1"/>
      <w:numFmt w:val="decimal"/>
      <w:lvlText w:val="%4."/>
      <w:lvlJc w:val="left"/>
      <w:pPr>
        <w:ind w:left="4830" w:hanging="360"/>
      </w:pPr>
    </w:lvl>
    <w:lvl w:ilvl="4" w:tplc="04220019">
      <w:start w:val="1"/>
      <w:numFmt w:val="lowerLetter"/>
      <w:lvlText w:val="%5."/>
      <w:lvlJc w:val="left"/>
      <w:pPr>
        <w:ind w:left="5550" w:hanging="360"/>
      </w:pPr>
    </w:lvl>
    <w:lvl w:ilvl="5" w:tplc="0422001B">
      <w:start w:val="1"/>
      <w:numFmt w:val="lowerRoman"/>
      <w:lvlText w:val="%6."/>
      <w:lvlJc w:val="right"/>
      <w:pPr>
        <w:ind w:left="6270" w:hanging="180"/>
      </w:pPr>
    </w:lvl>
    <w:lvl w:ilvl="6" w:tplc="0422000F">
      <w:start w:val="1"/>
      <w:numFmt w:val="decimal"/>
      <w:lvlText w:val="%7."/>
      <w:lvlJc w:val="left"/>
      <w:pPr>
        <w:ind w:left="6990" w:hanging="360"/>
      </w:pPr>
    </w:lvl>
    <w:lvl w:ilvl="7" w:tplc="04220019">
      <w:start w:val="1"/>
      <w:numFmt w:val="lowerLetter"/>
      <w:lvlText w:val="%8."/>
      <w:lvlJc w:val="left"/>
      <w:pPr>
        <w:ind w:left="7710" w:hanging="360"/>
      </w:pPr>
    </w:lvl>
    <w:lvl w:ilvl="8" w:tplc="0422001B">
      <w:start w:val="1"/>
      <w:numFmt w:val="lowerRoman"/>
      <w:lvlText w:val="%9."/>
      <w:lvlJc w:val="right"/>
      <w:pPr>
        <w:ind w:left="8430" w:hanging="180"/>
      </w:pPr>
    </w:lvl>
  </w:abstractNum>
  <w:abstractNum w:abstractNumId="4">
    <w:nsid w:val="51E75B60"/>
    <w:multiLevelType w:val="hybridMultilevel"/>
    <w:tmpl w:val="8A74EC18"/>
    <w:lvl w:ilvl="0" w:tplc="5462CE80">
      <w:start w:val="6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5F5B64C7"/>
    <w:multiLevelType w:val="hybridMultilevel"/>
    <w:tmpl w:val="78B8AF78"/>
    <w:lvl w:ilvl="0" w:tplc="581A5858">
      <w:start w:val="1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305" w:hanging="360"/>
      </w:pPr>
    </w:lvl>
    <w:lvl w:ilvl="2" w:tplc="0422001B">
      <w:start w:val="1"/>
      <w:numFmt w:val="lowerRoman"/>
      <w:lvlText w:val="%3."/>
      <w:lvlJc w:val="right"/>
      <w:pPr>
        <w:ind w:left="5025" w:hanging="180"/>
      </w:pPr>
    </w:lvl>
    <w:lvl w:ilvl="3" w:tplc="0422000F">
      <w:start w:val="1"/>
      <w:numFmt w:val="decimal"/>
      <w:lvlText w:val="%4."/>
      <w:lvlJc w:val="left"/>
      <w:pPr>
        <w:ind w:left="5745" w:hanging="360"/>
      </w:pPr>
    </w:lvl>
    <w:lvl w:ilvl="4" w:tplc="04220019">
      <w:start w:val="1"/>
      <w:numFmt w:val="lowerLetter"/>
      <w:lvlText w:val="%5."/>
      <w:lvlJc w:val="left"/>
      <w:pPr>
        <w:ind w:left="6465" w:hanging="360"/>
      </w:pPr>
    </w:lvl>
    <w:lvl w:ilvl="5" w:tplc="0422001B">
      <w:start w:val="1"/>
      <w:numFmt w:val="lowerRoman"/>
      <w:lvlText w:val="%6."/>
      <w:lvlJc w:val="right"/>
      <w:pPr>
        <w:ind w:left="7185" w:hanging="180"/>
      </w:pPr>
    </w:lvl>
    <w:lvl w:ilvl="6" w:tplc="0422000F">
      <w:start w:val="1"/>
      <w:numFmt w:val="decimal"/>
      <w:lvlText w:val="%7."/>
      <w:lvlJc w:val="left"/>
      <w:pPr>
        <w:ind w:left="7905" w:hanging="360"/>
      </w:pPr>
    </w:lvl>
    <w:lvl w:ilvl="7" w:tplc="04220019">
      <w:start w:val="1"/>
      <w:numFmt w:val="lowerLetter"/>
      <w:lvlText w:val="%8."/>
      <w:lvlJc w:val="left"/>
      <w:pPr>
        <w:ind w:left="8625" w:hanging="360"/>
      </w:pPr>
    </w:lvl>
    <w:lvl w:ilvl="8" w:tplc="0422001B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92"/>
    <w:rsid w:val="000026F8"/>
    <w:rsid w:val="00014504"/>
    <w:rsid w:val="00035C08"/>
    <w:rsid w:val="00084061"/>
    <w:rsid w:val="00174141"/>
    <w:rsid w:val="001A74CF"/>
    <w:rsid w:val="001B5DAD"/>
    <w:rsid w:val="001C4FC6"/>
    <w:rsid w:val="001D6DE1"/>
    <w:rsid w:val="001E295F"/>
    <w:rsid w:val="001E382B"/>
    <w:rsid w:val="002343B4"/>
    <w:rsid w:val="00235779"/>
    <w:rsid w:val="0024402C"/>
    <w:rsid w:val="00261025"/>
    <w:rsid w:val="00274F4D"/>
    <w:rsid w:val="00277320"/>
    <w:rsid w:val="002817BC"/>
    <w:rsid w:val="002B774C"/>
    <w:rsid w:val="002C0D97"/>
    <w:rsid w:val="002C1291"/>
    <w:rsid w:val="002C1CD6"/>
    <w:rsid w:val="002C5BD3"/>
    <w:rsid w:val="002D6F66"/>
    <w:rsid w:val="002F7071"/>
    <w:rsid w:val="00314C00"/>
    <w:rsid w:val="00327FAD"/>
    <w:rsid w:val="0037128C"/>
    <w:rsid w:val="003A45E2"/>
    <w:rsid w:val="003B1B2F"/>
    <w:rsid w:val="003C2D98"/>
    <w:rsid w:val="003E6471"/>
    <w:rsid w:val="00425A52"/>
    <w:rsid w:val="004645B9"/>
    <w:rsid w:val="0047288F"/>
    <w:rsid w:val="00482607"/>
    <w:rsid w:val="004A4664"/>
    <w:rsid w:val="004A5F9E"/>
    <w:rsid w:val="004B45FB"/>
    <w:rsid w:val="004B6032"/>
    <w:rsid w:val="004E7281"/>
    <w:rsid w:val="00532EF3"/>
    <w:rsid w:val="00533610"/>
    <w:rsid w:val="005444FA"/>
    <w:rsid w:val="00555F1F"/>
    <w:rsid w:val="00582C5D"/>
    <w:rsid w:val="00585DCA"/>
    <w:rsid w:val="005B2024"/>
    <w:rsid w:val="005D1DB8"/>
    <w:rsid w:val="005E1E92"/>
    <w:rsid w:val="006045B5"/>
    <w:rsid w:val="00611417"/>
    <w:rsid w:val="00613DDF"/>
    <w:rsid w:val="00684B0F"/>
    <w:rsid w:val="006B04CA"/>
    <w:rsid w:val="007021FD"/>
    <w:rsid w:val="0071701A"/>
    <w:rsid w:val="00732985"/>
    <w:rsid w:val="007A2CCC"/>
    <w:rsid w:val="007A5BC3"/>
    <w:rsid w:val="007A75D8"/>
    <w:rsid w:val="007B0BD6"/>
    <w:rsid w:val="007C017E"/>
    <w:rsid w:val="008069EA"/>
    <w:rsid w:val="00810C4E"/>
    <w:rsid w:val="00823626"/>
    <w:rsid w:val="00823D76"/>
    <w:rsid w:val="00832DB1"/>
    <w:rsid w:val="00884DEF"/>
    <w:rsid w:val="0089093D"/>
    <w:rsid w:val="008B3A5B"/>
    <w:rsid w:val="00904DC4"/>
    <w:rsid w:val="009406C9"/>
    <w:rsid w:val="009427DB"/>
    <w:rsid w:val="00952216"/>
    <w:rsid w:val="00953B17"/>
    <w:rsid w:val="009740B5"/>
    <w:rsid w:val="0098291C"/>
    <w:rsid w:val="00A24B94"/>
    <w:rsid w:val="00A3563E"/>
    <w:rsid w:val="00A55D09"/>
    <w:rsid w:val="00A80414"/>
    <w:rsid w:val="00A96D02"/>
    <w:rsid w:val="00AA620C"/>
    <w:rsid w:val="00AE395E"/>
    <w:rsid w:val="00B166C6"/>
    <w:rsid w:val="00B37725"/>
    <w:rsid w:val="00B427B0"/>
    <w:rsid w:val="00B512E2"/>
    <w:rsid w:val="00B71261"/>
    <w:rsid w:val="00B8614D"/>
    <w:rsid w:val="00B95129"/>
    <w:rsid w:val="00BA2E42"/>
    <w:rsid w:val="00BA33E3"/>
    <w:rsid w:val="00BD5FDD"/>
    <w:rsid w:val="00BF212C"/>
    <w:rsid w:val="00C23E8F"/>
    <w:rsid w:val="00C3285B"/>
    <w:rsid w:val="00C42E4C"/>
    <w:rsid w:val="00C811BE"/>
    <w:rsid w:val="00C94734"/>
    <w:rsid w:val="00CB31FC"/>
    <w:rsid w:val="00CD744F"/>
    <w:rsid w:val="00CE6C67"/>
    <w:rsid w:val="00CF6C44"/>
    <w:rsid w:val="00CF7485"/>
    <w:rsid w:val="00D259D8"/>
    <w:rsid w:val="00D32847"/>
    <w:rsid w:val="00D46F31"/>
    <w:rsid w:val="00D559CC"/>
    <w:rsid w:val="00D80477"/>
    <w:rsid w:val="00D82156"/>
    <w:rsid w:val="00D82941"/>
    <w:rsid w:val="00DB4D7A"/>
    <w:rsid w:val="00DF3ACB"/>
    <w:rsid w:val="00E136F1"/>
    <w:rsid w:val="00E351B5"/>
    <w:rsid w:val="00E6296D"/>
    <w:rsid w:val="00E872C9"/>
    <w:rsid w:val="00EB3995"/>
    <w:rsid w:val="00EC01E4"/>
    <w:rsid w:val="00F5096D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F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01A"/>
    <w:pPr>
      <w:ind w:left="720"/>
    </w:pPr>
  </w:style>
  <w:style w:type="paragraph" w:styleId="NoSpacing">
    <w:name w:val="No Spacing"/>
    <w:uiPriority w:val="99"/>
    <w:qFormat/>
    <w:rsid w:val="00EC01E4"/>
    <w:rPr>
      <w:rFonts w:cs="Calibri"/>
      <w:lang w:val="uk-UA" w:eastAsia="en-US"/>
    </w:rPr>
  </w:style>
  <w:style w:type="paragraph" w:styleId="Header">
    <w:name w:val="header"/>
    <w:basedOn w:val="Normal"/>
    <w:link w:val="HeaderChar"/>
    <w:uiPriority w:val="99"/>
    <w:rsid w:val="007A2C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CCC"/>
  </w:style>
  <w:style w:type="paragraph" w:styleId="Footer">
    <w:name w:val="footer"/>
    <w:basedOn w:val="Normal"/>
    <w:link w:val="FooterChar"/>
    <w:uiPriority w:val="99"/>
    <w:rsid w:val="007A2C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CCC"/>
  </w:style>
  <w:style w:type="character" w:styleId="PageNumber">
    <w:name w:val="page number"/>
    <w:basedOn w:val="DefaultParagraphFont"/>
    <w:uiPriority w:val="99"/>
    <w:rsid w:val="00CF7485"/>
  </w:style>
  <w:style w:type="paragraph" w:styleId="BalloonText">
    <w:name w:val="Balloon Text"/>
    <w:basedOn w:val="Normal"/>
    <w:link w:val="BalloonTextChar"/>
    <w:uiPriority w:val="99"/>
    <w:semiHidden/>
    <w:rsid w:val="00274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B17"/>
    <w:rPr>
      <w:rFonts w:ascii="Times New Roman" w:hAnsi="Times New Roman" w:cs="Times New Roman"/>
      <w:sz w:val="2"/>
      <w:szCs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826</TotalTime>
  <Pages>17</Pages>
  <Words>3354</Words>
  <Characters>19122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85</cp:revision>
  <cp:lastPrinted>2014-11-18T07:30:00Z</cp:lastPrinted>
  <dcterms:created xsi:type="dcterms:W3CDTF">2014-11-07T06:10:00Z</dcterms:created>
  <dcterms:modified xsi:type="dcterms:W3CDTF">2014-12-19T10:59:00Z</dcterms:modified>
</cp:coreProperties>
</file>