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Звіт про повторне відстеження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результативності розпорядження голови Первомайської районної державної адміністрації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Про затвердження Положення Центру надання адміністративних послуг Первомайської районної державної адміністрації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»»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numPr>
          <w:ilvl w:val="0"/>
          <w:numId w:val="3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Вид та назва регуляторного акта, результативність якого відстежується: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Розпорядження голови Первомайської районної державної адміністрації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 затвердження Положення Центру надання адміністративних послуг  Первомайської районної державної адміністрації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Назва виконавця заходів з відстеження.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Відділ забезпечення діяльності центру надання адміністративних  послуг Первомайської районної державної адміністрації.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    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Цілі прийняття акта.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Основною метою регуляторного акту є створення зручних і сприятливих умов отримання адміністративних послуг суб’єктами звернення, суб’єктами господарювання, забезпечення відкритості інформації про діяльність органів виконавчої влади в Первомайському районі. 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Основними цілями регуляторного акту є: 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зебезпечення можливості отримання суб’єктами господарювання та населенням адміністративних послуг у одному приміщенні, у чітко визначені строки та з мінімальними витратами часу на очікування прийому;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забезпечення вільного доступу суб’єктам господарювання та населенню до інформації щодо порядку, умов, строків, вартості ( у разі платності) адміністративних послуг, а також до інформації про стан, хід та результати розгляду заяв/клопотань/звернень у відповідних адміністративних органах;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мінімізація корупційної складової за рахунок зменшення або відсутності безпосереднього спілкування суб’єктів звернень з представниками установ, що надають адміністративні послуги;</w:t>
      </w:r>
    </w:p>
    <w:p>
      <w:pPr>
        <w:numPr>
          <w:ilvl w:val="0"/>
          <w:numId w:val="9"/>
        </w:numPr>
        <w:spacing w:before="0" w:after="200" w:line="276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запровадження сучасних форм надання адміністративних послуг та підвищення якості їх надання.</w:t>
        <w:br/>
      </w:r>
    </w:p>
    <w:p>
      <w:pPr>
        <w:numPr>
          <w:ilvl w:val="0"/>
          <w:numId w:val="9"/>
        </w:numPr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Строк виконання заходів з відстеження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Повторне відстеження було  здійснено на протязі січня-березня  2017 року.</w:t>
      </w:r>
    </w:p>
    <w:p>
      <w:pPr>
        <w:numPr>
          <w:ilvl w:val="0"/>
          <w:numId w:val="13"/>
        </w:numPr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Тип відстеження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Повторне відстеження.</w:t>
      </w:r>
    </w:p>
    <w:p>
      <w:pPr>
        <w:numPr>
          <w:ilvl w:val="0"/>
          <w:numId w:val="15"/>
        </w:numPr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Методи одержання результатів відстеження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Відстеження результативності цього регуляторного акта здійснювалось шляхом аналізу статистичної інформації, отриманої за результатами діяльності центру надання адміністративних послуг райдержадміністрації. 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7"/>
        </w:numPr>
        <w:spacing w:before="0" w:after="200" w:line="276"/>
        <w:ind w:right="0" w:left="108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Дані та припущення, на основі яких відстежувалася результативність, а також способи одержання даних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Враховуючи   цілі   регулювання,   для   відстеження результативності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зазначеного регуляторного акта були визначені наступні показники: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кількість наданих через Центр надання адміністративних послуг Первомайської районної державної адміністрації;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кількість суб’єктів господарювання та фізичних осіб на яких буде поширюватися дія акта (кількість звернень одержувачів адміністративних послуг);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середній термін розгляду звернення;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кількість скарг одержувачів послуг з приводу порушення порядку та якості надання адміністративних послуг.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подальшому відстеження результативності регуляторного  акту  буде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здійснюватись шляхом аналізу інформації, отриманої за результатами моніторингу діяльності Центру надання адміністративних послуг.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2"/>
        </w:numPr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Кількісні та якісні значення показників результативності акта.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Регуляторний акт поширюється на невизначене коло суб’єктів господарювання та фізичних осіб – суб’єктів звернення, які звертаються за наданням адміністративних послуг до центру надання адміністративних послуг райдержадміністрації.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Запровадження даного регуляторного акта позитивно вплинуло на: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забезпечення прозорості, відкритості у сфері надання адміністративних послуг;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спрощення процедури подання та отримання адміністративних послуг, підвищення якості їх надання;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отримання максимум адміністративних послуг в одному місці;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зручний режим роботи для споживачів адміністративних послуг;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Кількісне значення статистичних показників результативності:</w:t>
      </w:r>
    </w:p>
    <w:tbl>
      <w:tblPr/>
      <w:tblGrid>
        <w:gridCol w:w="7054"/>
        <w:gridCol w:w="1374"/>
        <w:gridCol w:w="1461"/>
      </w:tblGrid>
      <w:tr>
        <w:trPr>
          <w:trHeight w:val="563" w:hRule="auto"/>
          <w:jc w:val="left"/>
        </w:trPr>
        <w:tc>
          <w:tcPr>
            <w:tcW w:w="705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4"/>
                <w:shd w:fill="auto" w:val="clear"/>
              </w:rPr>
              <w:t xml:space="preserve">Показники результативності</w:t>
            </w:r>
          </w:p>
        </w:tc>
        <w:tc>
          <w:tcPr>
            <w:tcW w:w="2835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4"/>
                <w:shd w:fill="auto" w:val="clear"/>
              </w:rPr>
              <w:t xml:space="preserve">Центр надання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4"/>
                <w:shd w:fill="auto" w:val="clear"/>
              </w:rPr>
              <w:t xml:space="preserve">адміністративних послуг</w:t>
            </w:r>
          </w:p>
        </w:tc>
      </w:tr>
      <w:tr>
        <w:trPr>
          <w:trHeight w:val="427" w:hRule="auto"/>
          <w:jc w:val="left"/>
        </w:trPr>
        <w:tc>
          <w:tcPr>
            <w:tcW w:w="705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4"/>
                <w:shd w:fill="auto" w:val="clear"/>
              </w:rPr>
              <w:t xml:space="preserve">Січень-березень 2015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4"/>
                <w:shd w:fill="auto" w:val="clear"/>
              </w:rPr>
              <w:t xml:space="preserve">Січень-березень 2017</w:t>
            </w:r>
          </w:p>
        </w:tc>
      </w:tr>
      <w:tr>
        <w:trPr>
          <w:trHeight w:val="1" w:hRule="atLeast"/>
          <w:jc w:val="left"/>
        </w:trPr>
        <w:tc>
          <w:tcPr>
            <w:tcW w:w="705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4"/>
                <w:shd w:fill="auto" w:val="clear"/>
              </w:rPr>
              <w:t xml:space="preserve">Кількість звернень до центру надання адміністративних</w:t>
            </w: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4"/>
                <w:shd w:fill="auto" w:val="clear"/>
              </w:rPr>
              <w:t xml:space="preserve">послуг</w:t>
            </w:r>
          </w:p>
        </w:tc>
        <w:tc>
          <w:tcPr>
            <w:tcW w:w="137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4"/>
                <w:shd w:fill="auto" w:val="clear"/>
              </w:rPr>
              <w:t xml:space="preserve">1545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4"/>
                <w:shd w:fill="auto" w:val="clear"/>
              </w:rPr>
              <w:t xml:space="preserve">1719</w:t>
            </w:r>
          </w:p>
        </w:tc>
      </w:tr>
      <w:tr>
        <w:trPr>
          <w:trHeight w:val="438" w:hRule="auto"/>
          <w:jc w:val="left"/>
        </w:trPr>
        <w:tc>
          <w:tcPr>
            <w:tcW w:w="705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4"/>
                <w:shd w:fill="auto" w:val="clear"/>
              </w:rPr>
              <w:t xml:space="preserve">Кількість наданих адміністративних послуг</w:t>
            </w:r>
          </w:p>
        </w:tc>
        <w:tc>
          <w:tcPr>
            <w:tcW w:w="137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4"/>
                <w:shd w:fill="auto" w:val="clear"/>
              </w:rPr>
              <w:t xml:space="preserve">1511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4"/>
                <w:shd w:fill="auto" w:val="clear"/>
              </w:rPr>
              <w:t xml:space="preserve">1639</w:t>
            </w:r>
          </w:p>
        </w:tc>
      </w:tr>
      <w:tr>
        <w:trPr>
          <w:trHeight w:val="688" w:hRule="auto"/>
          <w:jc w:val="left"/>
        </w:trPr>
        <w:tc>
          <w:tcPr>
            <w:tcW w:w="705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4"/>
                <w:shd w:fill="auto" w:val="clear"/>
              </w:rPr>
              <w:t xml:space="preserve">Кількість наданих консультацій суб’єктам звернення щодо отримання адміністративної послуги</w:t>
            </w:r>
          </w:p>
        </w:tc>
        <w:tc>
          <w:tcPr>
            <w:tcW w:w="137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4"/>
                <w:shd w:fill="auto" w:val="clear"/>
              </w:rPr>
              <w:t xml:space="preserve">378</w:t>
            </w:r>
          </w:p>
        </w:tc>
      </w:tr>
      <w:tr>
        <w:trPr>
          <w:trHeight w:val="1" w:hRule="atLeast"/>
          <w:jc w:val="left"/>
        </w:trPr>
        <w:tc>
          <w:tcPr>
            <w:tcW w:w="705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4"/>
                <w:shd w:fill="auto" w:val="clear"/>
              </w:rPr>
              <w:t xml:space="preserve">Середній термін розгляду звернення: час, що минув між поданням необхідного пакету документів до прийняття рішення (календарні дні)</w:t>
            </w:r>
          </w:p>
        </w:tc>
        <w:tc>
          <w:tcPr>
            <w:tcW w:w="137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705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4"/>
                <w:shd w:fill="auto" w:val="clear"/>
              </w:rPr>
              <w:t xml:space="preserve">Кількість скарг одержувачів послуг з приводу порушення порядку та якості надання адміністративних послуг</w:t>
            </w:r>
          </w:p>
        </w:tc>
        <w:tc>
          <w:tcPr>
            <w:tcW w:w="137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Рівень поінформованості суб’єктів господарювання та/або фізичних осіб з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основних положень акта – систематичне інформування на сайті райдержадміністрації у розділі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Адміністративні послуги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Застосування проекту регуляторного акта Центром надання адміністративних послуг спростило процедуру отримання адміністративних послуг фізичними та юридичними особами. </w:t>
      </w:r>
    </w:p>
    <w:p>
      <w:pPr>
        <w:numPr>
          <w:ilvl w:val="0"/>
          <w:numId w:val="58"/>
        </w:numPr>
        <w:spacing w:before="0" w:after="200" w:line="276"/>
        <w:ind w:right="0" w:left="108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Оцінка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результатів реалізації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регуляторного акта та ступеня досягнення визначених цілей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Застосування регуляторного акта Центром надання адміністративних послуг спростило процедуру отримання адміністративних послуг фізичними та юридичними особами. Таким чином, результати реалізації його положень мають позитивну динаміку.</w:t>
      </w:r>
    </w:p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Періодичне    відстеження    результативності   регуляторного    акту   буде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проведено один раз на три роки, починаючи з дня повторного відстеження з метою постійного контролю за регуляторним впливом даного розпорядження.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        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       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Керівник регуляторного органу: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Виконувач функцій і повноважень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голови райдержадміністрації,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перший заступник голови</w:t>
      </w:r>
    </w:p>
    <w:p>
      <w:pPr>
        <w:tabs>
          <w:tab w:val="left" w:pos="7147" w:leader="none"/>
          <w:tab w:val="left" w:pos="72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райдержадміністрації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С. В. Бондаренко</w:t>
        <w:tab/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27.03.2017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3">
    <w:abstractNumId w:val="54"/>
  </w:num>
  <w:num w:numId="5">
    <w:abstractNumId w:val="48"/>
  </w:num>
  <w:num w:numId="9">
    <w:abstractNumId w:val="42"/>
  </w:num>
  <w:num w:numId="13">
    <w:abstractNumId w:val="36"/>
  </w:num>
  <w:num w:numId="15">
    <w:abstractNumId w:val="30"/>
  </w:num>
  <w:num w:numId="17">
    <w:abstractNumId w:val="24"/>
  </w:num>
  <w:num w:numId="19">
    <w:abstractNumId w:val="18"/>
  </w:num>
  <w:num w:numId="22">
    <w:abstractNumId w:val="12"/>
  </w:num>
  <w:num w:numId="24">
    <w:abstractNumId w:val="6"/>
  </w:num>
  <w:num w:numId="5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