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C" w:rsidRPr="0003704C" w:rsidRDefault="0052155B" w:rsidP="00BB69D9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У</w:t>
      </w:r>
      <w:r w:rsidR="0003704C" w:rsidRPr="000370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сунення неточностей у податковому розрахунку за ф. №1ДФ</w:t>
      </w:r>
    </w:p>
    <w:p w:rsidR="0003704C" w:rsidRPr="0003704C" w:rsidRDefault="0003704C" w:rsidP="0052155B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03704C" w:rsidRPr="0003704C" w:rsidRDefault="0052155B" w:rsidP="0052155B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BB69D9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 xml:space="preserve">Первомайське відділення </w:t>
      </w:r>
      <w:proofErr w:type="spellStart"/>
      <w:r w:rsidRPr="00BB69D9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Южноукраїнської</w:t>
      </w:r>
      <w:proofErr w:type="spellEnd"/>
      <w:r w:rsidRPr="00BB69D9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 xml:space="preserve"> ОДПІ ГУ ДФС України у Миколаївській</w:t>
      </w:r>
      <w:r w:rsidRPr="00C251BD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 xml:space="preserve"> області </w:t>
      </w:r>
      <w:r w:rsidR="0003704C"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нагадує, що форма та Порядок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 (</w:t>
      </w:r>
      <w:hyperlink r:id="rId6" w:tgtFrame="_blank" w:history="1">
        <w:r w:rsidR="0003704C" w:rsidRPr="00BB69D9">
          <w:rPr>
            <w:rFonts w:ascii="Times New Roman" w:eastAsia="Times New Roman" w:hAnsi="Times New Roman" w:cs="Times New Roman"/>
            <w:color w:val="61822F"/>
            <w:sz w:val="24"/>
            <w:szCs w:val="24"/>
            <w:u w:val="single"/>
            <w:bdr w:val="none" w:sz="0" w:space="0" w:color="auto" w:frame="1"/>
            <w:lang w:eastAsia="uk-UA"/>
          </w:rPr>
          <w:t>форма №1ДФ</w:t>
        </w:r>
      </w:hyperlink>
      <w:r w:rsidR="0003704C"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) затверджені н</w:t>
      </w:r>
      <w:hyperlink r:id="rId7" w:tgtFrame="_blank" w:history="1">
        <w:r w:rsidR="0003704C" w:rsidRPr="00BB69D9">
          <w:rPr>
            <w:rFonts w:ascii="Times New Roman" w:eastAsia="Times New Roman" w:hAnsi="Times New Roman" w:cs="Times New Roman"/>
            <w:color w:val="61822F"/>
            <w:sz w:val="24"/>
            <w:szCs w:val="24"/>
            <w:u w:val="single"/>
            <w:bdr w:val="none" w:sz="0" w:space="0" w:color="auto" w:frame="1"/>
            <w:lang w:eastAsia="uk-UA"/>
          </w:rPr>
          <w:t>аказом Мінфіну від 13.01.2015 р. №4</w:t>
        </w:r>
      </w:hyperlink>
      <w:r w:rsidR="0003704C"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.</w:t>
      </w:r>
    </w:p>
    <w:p w:rsidR="0003704C" w:rsidRPr="0003704C" w:rsidRDefault="0003704C" w:rsidP="0052155B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BB69D9">
        <w:rPr>
          <w:rFonts w:ascii="Times New Roman" w:eastAsia="Times New Roman" w:hAnsi="Times New Roman" w:cs="Times New Roman"/>
          <w:b/>
          <w:bCs/>
          <w:color w:val="232B30"/>
          <w:sz w:val="24"/>
          <w:szCs w:val="24"/>
          <w:bdr w:val="none" w:sz="0" w:space="0" w:color="auto" w:frame="1"/>
          <w:lang w:eastAsia="uk-UA"/>
        </w:rPr>
        <w:t>Порядок заповнення звітного нового та уточнюючого податкових розрахунків є однаковим</w:t>
      </w: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. Звітний новий та уточнюючий податкові розрахунки подаються на підставі інформації з попередньо поданого податкового розрахунку і містять інформацію лише за рядками й реквізитами, які уточнюються. Для заповнення також використовується інформація з повідомлень про виявлені помилки, які відправляються контролюючими органами до податкового агента.</w:t>
      </w:r>
    </w:p>
    <w:p w:rsidR="0003704C" w:rsidRPr="0003704C" w:rsidRDefault="0003704C" w:rsidP="00BB69D9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 </w:t>
      </w:r>
      <w:r w:rsidRPr="00BB69D9">
        <w:rPr>
          <w:rFonts w:ascii="Times New Roman" w:eastAsia="Times New Roman" w:hAnsi="Times New Roman" w:cs="Times New Roman"/>
          <w:b/>
          <w:bCs/>
          <w:color w:val="232B30"/>
          <w:sz w:val="24"/>
          <w:szCs w:val="24"/>
          <w:bdr w:val="none" w:sz="0" w:space="0" w:color="auto" w:frame="1"/>
          <w:lang w:eastAsia="uk-UA"/>
        </w:rPr>
        <w:t>Коригування показників розділу I:</w:t>
      </w:r>
    </w:p>
    <w:p w:rsidR="0003704C" w:rsidRPr="0003704C" w:rsidRDefault="0003704C" w:rsidP="0052155B">
      <w:pPr>
        <w:numPr>
          <w:ilvl w:val="0"/>
          <w:numId w:val="1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для виключення одного помилкового рядка з попередньо введеної інформації потрібно повторити всі графи такого рядка і у графі 9 указати «1» - на виключення рядка;</w:t>
      </w:r>
    </w:p>
    <w:p w:rsidR="0003704C" w:rsidRPr="00BB69D9" w:rsidRDefault="0003704C" w:rsidP="0052155B">
      <w:pPr>
        <w:numPr>
          <w:ilvl w:val="0"/>
          <w:numId w:val="1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для введення нового або пропущеного рядка потрібно повністю заповнити всі його графи і у графі 9 указати «0» - на введення ряд</w:t>
      </w:r>
      <w:bookmarkStart w:id="0" w:name="_GoBack"/>
      <w:bookmarkEnd w:id="0"/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ка;</w:t>
      </w:r>
    </w:p>
    <w:p w:rsidR="0003704C" w:rsidRPr="0003704C" w:rsidRDefault="0003704C" w:rsidP="00BB69D9">
      <w:pPr>
        <w:numPr>
          <w:ilvl w:val="0"/>
          <w:numId w:val="1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 для заміни одного помилкового рядка іншим потрібно виключити помилкову інформацію та ввести правильну інформацію, тобто повністю заповнити два рядки, один з яких виключає попередньо внесену інформацію, а другий вносить правильну інформацію. У такому разі в першому рядку в графі 9 указується «1» - рядок на виключення, а в другому – «0» - рядок на введення.</w:t>
      </w:r>
    </w:p>
    <w:p w:rsidR="0003704C" w:rsidRPr="0003704C" w:rsidRDefault="0003704C" w:rsidP="00BB69D9">
      <w:pPr>
        <w:tabs>
          <w:tab w:val="num" w:pos="0"/>
        </w:tabs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 </w:t>
      </w:r>
      <w:r w:rsidRPr="00BB69D9">
        <w:rPr>
          <w:rFonts w:ascii="Times New Roman" w:eastAsia="Times New Roman" w:hAnsi="Times New Roman" w:cs="Times New Roman"/>
          <w:b/>
          <w:bCs/>
          <w:color w:val="232B30"/>
          <w:sz w:val="24"/>
          <w:szCs w:val="24"/>
          <w:bdr w:val="none" w:sz="0" w:space="0" w:color="auto" w:frame="1"/>
          <w:lang w:eastAsia="uk-UA"/>
        </w:rPr>
        <w:t>Коригування показників розділу II: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підрозділ «Оподаткування процентів»: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для виключення помилкового рядка з попередньо введеної інформації у рядку «Оподаткування процентів - виключення**» потрібно повторити всі графи помилкового рядка, а в рядку «Оподаткування процентів» відобразити правильну інформацію;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підрозділ «Оподаткування виграшів (призів) у лотерею»: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для виключення помилкового рядка з попередньо введеної інформації у рядку «Оподаткування виграшів (призів) у лотерею - виключення***» потрібно повторити всі графи помилкового рядка, а в рядку «Оподаткування виграшів (призів) у лотерею» відобразити правильну інформацію;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after="75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підрозділ «Військовий збір»:</w:t>
      </w:r>
    </w:p>
    <w:p w:rsidR="0003704C" w:rsidRPr="0003704C" w:rsidRDefault="0003704C" w:rsidP="0052155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</w:pPr>
      <w:r w:rsidRPr="0003704C">
        <w:rPr>
          <w:rFonts w:ascii="Times New Roman" w:eastAsia="Times New Roman" w:hAnsi="Times New Roman" w:cs="Times New Roman"/>
          <w:color w:val="232B30"/>
          <w:sz w:val="24"/>
          <w:szCs w:val="24"/>
          <w:lang w:eastAsia="uk-UA"/>
        </w:rPr>
        <w:t>для виключення помилкового рядка з попередньо введеної інформації у рядку «Військовий збір - виключення****» потрібно повторити всі графи помилкового рядка, а в рядку «Військовий збір» відобразити правильну інформацію.</w:t>
      </w:r>
    </w:p>
    <w:p w:rsidR="0052155B" w:rsidRPr="00BB69D9" w:rsidRDefault="0052155B" w:rsidP="00BB69D9">
      <w:pPr>
        <w:pStyle w:val="a4"/>
        <w:shd w:val="clear" w:color="auto" w:fill="F1F1EF"/>
        <w:spacing w:before="0" w:beforeAutospacing="0" w:after="58" w:afterAutospacing="0" w:line="276" w:lineRule="atLeast"/>
        <w:ind w:left="1287"/>
        <w:jc w:val="right"/>
        <w:textAlignment w:val="baseline"/>
        <w:rPr>
          <w:color w:val="232B30"/>
          <w:sz w:val="20"/>
          <w:szCs w:val="20"/>
        </w:rPr>
      </w:pPr>
      <w:r w:rsidRPr="00BB69D9">
        <w:rPr>
          <w:color w:val="232B30"/>
          <w:sz w:val="20"/>
          <w:szCs w:val="20"/>
        </w:rPr>
        <w:t xml:space="preserve">Головний державний інспектор </w:t>
      </w:r>
    </w:p>
    <w:p w:rsidR="0052155B" w:rsidRPr="00BB69D9" w:rsidRDefault="0052155B" w:rsidP="00BB69D9">
      <w:pPr>
        <w:pStyle w:val="a4"/>
        <w:shd w:val="clear" w:color="auto" w:fill="F1F1EF"/>
        <w:spacing w:before="0" w:beforeAutospacing="0" w:after="58" w:afterAutospacing="0" w:line="276" w:lineRule="atLeast"/>
        <w:ind w:left="1287"/>
        <w:jc w:val="right"/>
        <w:textAlignment w:val="baseline"/>
        <w:rPr>
          <w:color w:val="000000"/>
          <w:sz w:val="20"/>
          <w:szCs w:val="20"/>
        </w:rPr>
      </w:pPr>
      <w:r w:rsidRPr="00BB69D9">
        <w:rPr>
          <w:color w:val="232B30"/>
          <w:sz w:val="20"/>
          <w:szCs w:val="20"/>
        </w:rPr>
        <w:t xml:space="preserve">Первомайського відділення </w:t>
      </w:r>
      <w:proofErr w:type="spellStart"/>
      <w:r w:rsidRPr="00BB69D9">
        <w:rPr>
          <w:color w:val="232B30"/>
          <w:sz w:val="20"/>
          <w:szCs w:val="20"/>
        </w:rPr>
        <w:t>Южноукраїнської</w:t>
      </w:r>
      <w:proofErr w:type="spellEnd"/>
      <w:r w:rsidRPr="00BB69D9">
        <w:rPr>
          <w:color w:val="232B30"/>
          <w:sz w:val="20"/>
          <w:szCs w:val="20"/>
        </w:rPr>
        <w:t xml:space="preserve"> ОДПІ</w:t>
      </w:r>
    </w:p>
    <w:p w:rsidR="0052155B" w:rsidRPr="00BB69D9" w:rsidRDefault="0052155B" w:rsidP="00BB69D9">
      <w:pPr>
        <w:pStyle w:val="a8"/>
        <w:ind w:left="1287"/>
        <w:jc w:val="right"/>
        <w:rPr>
          <w:sz w:val="20"/>
          <w:szCs w:val="20"/>
        </w:rPr>
      </w:pPr>
      <w:proofErr w:type="spellStart"/>
      <w:r w:rsidRPr="00BB69D9">
        <w:rPr>
          <w:bCs/>
          <w:color w:val="232B30"/>
          <w:sz w:val="20"/>
          <w:szCs w:val="20"/>
        </w:rPr>
        <w:t>Чекрижова</w:t>
      </w:r>
      <w:proofErr w:type="spellEnd"/>
      <w:r w:rsidRPr="00BB69D9">
        <w:rPr>
          <w:bCs/>
          <w:color w:val="232B30"/>
          <w:sz w:val="20"/>
          <w:szCs w:val="20"/>
        </w:rPr>
        <w:t xml:space="preserve"> С.Л.</w:t>
      </w:r>
    </w:p>
    <w:p w:rsidR="00561A20" w:rsidRDefault="00561A20"/>
    <w:sectPr w:rsidR="00561A20" w:rsidSect="0052155B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1A0"/>
    <w:multiLevelType w:val="multilevel"/>
    <w:tmpl w:val="5E3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2718C"/>
    <w:multiLevelType w:val="multilevel"/>
    <w:tmpl w:val="ACC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E330D"/>
    <w:multiLevelType w:val="multilevel"/>
    <w:tmpl w:val="60B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C"/>
    <w:rsid w:val="0003704C"/>
    <w:rsid w:val="0052155B"/>
    <w:rsid w:val="00561A20"/>
    <w:rsid w:val="00B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3704C"/>
  </w:style>
  <w:style w:type="character" w:styleId="a3">
    <w:name w:val="Hyperlink"/>
    <w:basedOn w:val="a0"/>
    <w:uiPriority w:val="99"/>
    <w:semiHidden/>
    <w:unhideWhenUsed/>
    <w:rsid w:val="0003704C"/>
    <w:rPr>
      <w:color w:val="0000FF"/>
      <w:u w:val="single"/>
    </w:rPr>
  </w:style>
  <w:style w:type="paragraph" w:styleId="a4">
    <w:name w:val="Normal (Web)"/>
    <w:basedOn w:val="a"/>
    <w:unhideWhenUsed/>
    <w:rsid w:val="0003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370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4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2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3704C"/>
  </w:style>
  <w:style w:type="character" w:styleId="a3">
    <w:name w:val="Hyperlink"/>
    <w:basedOn w:val="a0"/>
    <w:uiPriority w:val="99"/>
    <w:semiHidden/>
    <w:unhideWhenUsed/>
    <w:rsid w:val="0003704C"/>
    <w:rPr>
      <w:color w:val="0000FF"/>
      <w:u w:val="single"/>
    </w:rPr>
  </w:style>
  <w:style w:type="paragraph" w:styleId="a4">
    <w:name w:val="Normal (Web)"/>
    <w:basedOn w:val="a"/>
    <w:unhideWhenUsed/>
    <w:rsid w:val="0003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370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4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2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2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dtkt.ua/doc/1216.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.dtkt.ua/blank/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2017-10-18T19:41:00Z</dcterms:created>
  <dcterms:modified xsi:type="dcterms:W3CDTF">2017-10-18T20:26:00Z</dcterms:modified>
</cp:coreProperties>
</file>