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82" w:rsidRDefault="00B04282" w:rsidP="00B042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82" w:rsidRDefault="00B04282" w:rsidP="00B0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B04282" w:rsidRDefault="00B04282" w:rsidP="00B0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B04282" w:rsidRPr="00803589" w:rsidRDefault="00B04282" w:rsidP="00B04282">
      <w:pPr>
        <w:jc w:val="center"/>
        <w:rPr>
          <w:sz w:val="28"/>
          <w:szCs w:val="28"/>
        </w:rPr>
      </w:pPr>
    </w:p>
    <w:p w:rsidR="00B04282" w:rsidRDefault="00B04282" w:rsidP="00B0428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B04282" w:rsidRPr="00803589" w:rsidRDefault="00B04282" w:rsidP="00B0428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B04282" w:rsidRPr="004636C9" w:rsidRDefault="00B04282" w:rsidP="00B04282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 w:rsidRPr="004636C9">
        <w:rPr>
          <w:b/>
          <w:sz w:val="28"/>
          <w:szCs w:val="28"/>
          <w:u w:val="single"/>
          <w:lang w:val="uk-UA"/>
        </w:rPr>
        <w:t xml:space="preserve">від </w:t>
      </w:r>
      <w:r>
        <w:rPr>
          <w:b/>
          <w:sz w:val="28"/>
          <w:szCs w:val="28"/>
          <w:u w:val="single"/>
          <w:lang w:val="uk-UA"/>
        </w:rPr>
        <w:t>20 липня</w:t>
      </w:r>
      <w:r w:rsidRPr="004636C9">
        <w:rPr>
          <w:b/>
          <w:sz w:val="28"/>
          <w:szCs w:val="28"/>
          <w:u w:val="single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                </w:t>
      </w:r>
      <w:r w:rsidRPr="00D20C41"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</w:t>
      </w:r>
      <w:r w:rsidRPr="004636C9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150</w:t>
      </w:r>
      <w:r w:rsidRPr="004636C9">
        <w:rPr>
          <w:b/>
          <w:sz w:val="28"/>
          <w:szCs w:val="28"/>
          <w:u w:val="single"/>
          <w:lang w:val="uk-UA"/>
        </w:rPr>
        <w:t>-р</w:t>
      </w:r>
    </w:p>
    <w:p w:rsidR="00B04282" w:rsidRDefault="00B04282" w:rsidP="00B04282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</w:tblGrid>
      <w:tr w:rsidR="00B04282" w:rsidRPr="00B712A5" w:rsidTr="00CA7588">
        <w:trPr>
          <w:trHeight w:val="1385"/>
        </w:trPr>
        <w:tc>
          <w:tcPr>
            <w:tcW w:w="4786" w:type="dxa"/>
            <w:shd w:val="clear" w:color="auto" w:fill="auto"/>
          </w:tcPr>
          <w:p w:rsidR="00B04282" w:rsidRPr="00B712A5" w:rsidRDefault="00B04282" w:rsidP="00CA7588">
            <w:pPr>
              <w:tabs>
                <w:tab w:val="left" w:pos="9780"/>
              </w:tabs>
              <w:ind w:right="-1"/>
              <w:jc w:val="both"/>
              <w:rPr>
                <w:sz w:val="28"/>
                <w:szCs w:val="16"/>
                <w:lang w:val="uk-UA"/>
              </w:rPr>
            </w:pPr>
            <w:r w:rsidRPr="00B712A5">
              <w:rPr>
                <w:sz w:val="28"/>
                <w:szCs w:val="16"/>
                <w:lang w:val="uk-UA"/>
              </w:rPr>
              <w:t xml:space="preserve">Про </w:t>
            </w:r>
            <w:r>
              <w:rPr>
                <w:sz w:val="28"/>
                <w:szCs w:val="16"/>
                <w:lang w:val="uk-UA"/>
              </w:rPr>
              <w:t>порядок створення та організацію роботи консультаційних пунктів з питань цивільного захисту</w:t>
            </w:r>
          </w:p>
        </w:tc>
      </w:tr>
    </w:tbl>
    <w:p w:rsidR="00B04282" w:rsidRPr="00803589" w:rsidRDefault="00B04282" w:rsidP="00B04282">
      <w:pPr>
        <w:rPr>
          <w:bCs/>
          <w:szCs w:val="18"/>
          <w:lang w:val="uk-UA" w:eastAsia="zh-CN"/>
        </w:rPr>
      </w:pPr>
    </w:p>
    <w:p w:rsidR="00B04282" w:rsidRPr="00C7699A" w:rsidRDefault="00B04282" w:rsidP="00B04282">
      <w:pPr>
        <w:ind w:firstLine="708"/>
        <w:jc w:val="both"/>
        <w:rPr>
          <w:bCs/>
          <w:sz w:val="28"/>
          <w:szCs w:val="20"/>
          <w:lang w:val="uk-UA" w:eastAsia="zh-CN"/>
        </w:rPr>
      </w:pPr>
      <w:r w:rsidRPr="00001C70">
        <w:rPr>
          <w:sz w:val="28"/>
          <w:szCs w:val="28"/>
          <w:lang w:val="uk-UA" w:eastAsia="zh-CN"/>
        </w:rPr>
        <w:t>Відповідно до пунктів 1, 2, 7 статті 119 Конституції України, пу</w:t>
      </w:r>
      <w:r>
        <w:rPr>
          <w:sz w:val="28"/>
          <w:szCs w:val="28"/>
          <w:lang w:val="uk-UA" w:eastAsia="zh-CN"/>
        </w:rPr>
        <w:t>нктів 1, 2, 7 статті 2,</w:t>
      </w:r>
      <w:r w:rsidRPr="00001C70">
        <w:rPr>
          <w:sz w:val="28"/>
          <w:szCs w:val="28"/>
          <w:lang w:val="uk-UA" w:eastAsia="zh-CN"/>
        </w:rPr>
        <w:t xml:space="preserve"> пункту 1 с</w:t>
      </w:r>
      <w:r>
        <w:rPr>
          <w:sz w:val="28"/>
          <w:szCs w:val="28"/>
          <w:lang w:val="uk-UA" w:eastAsia="zh-CN"/>
        </w:rPr>
        <w:t xml:space="preserve">татті 25, статей 41, </w:t>
      </w:r>
      <w:r w:rsidRPr="00001C70">
        <w:rPr>
          <w:sz w:val="28"/>
          <w:szCs w:val="28"/>
          <w:lang w:val="uk-UA" w:eastAsia="zh-CN"/>
        </w:rPr>
        <w:t>45 Закону України «Про місцеві державні адміністрації»,</w:t>
      </w:r>
      <w:r w:rsidRPr="00001C70">
        <w:rPr>
          <w:lang w:val="uk-UA" w:eastAsia="zh-CN"/>
        </w:rPr>
        <w:t xml:space="preserve"> </w:t>
      </w:r>
      <w:r>
        <w:rPr>
          <w:sz w:val="28"/>
          <w:lang w:val="uk-UA" w:eastAsia="zh-CN"/>
        </w:rPr>
        <w:t>статей 19, 39, 42 Кодексу цивільного захисту України, Порядку здійснення навчання населення діям у надзвичайних ситуаціях, затвердженого постановою Кабінету Міністрів України від 26 червня 203 року № 444,  наказу Міністерства надзвичайних ситуацій України від 07 червня 2011 року № 587 «Про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 та сільських (селищних) радах», на виконання розпорядження голови облдержадміністрації від 15 липня 2020 року № 285-р</w:t>
      </w:r>
      <w:r>
        <w:rPr>
          <w:sz w:val="28"/>
          <w:szCs w:val="28"/>
          <w:lang w:val="uk-UA" w:eastAsia="zh-CN"/>
        </w:rPr>
        <w:t xml:space="preserve"> «Про порядок створення та організацію роботи консультаційних пунктів з питань цивільного захисту» та з метою підвищення ефективності проведення інформаційно-просвітницької роботи і поширення знань серед населення з питань цивільного захисту та дій у надзвичайних ситуаціях за місцем проживання</w:t>
      </w:r>
      <w:r>
        <w:rPr>
          <w:bCs/>
          <w:sz w:val="28"/>
          <w:szCs w:val="20"/>
          <w:lang w:val="uk-UA" w:eastAsia="zh-CN"/>
        </w:rPr>
        <w:t>:</w:t>
      </w:r>
    </w:p>
    <w:p w:rsidR="00B04282" w:rsidRPr="00803589" w:rsidRDefault="00B04282" w:rsidP="00B04282">
      <w:pPr>
        <w:jc w:val="both"/>
        <w:rPr>
          <w:szCs w:val="16"/>
          <w:lang w:val="uk-UA" w:eastAsia="zh-CN"/>
        </w:rPr>
      </w:pPr>
    </w:p>
    <w:p w:rsidR="00B04282" w:rsidRPr="00001C70" w:rsidRDefault="00B04282" w:rsidP="00B04282">
      <w:pPr>
        <w:ind w:firstLine="708"/>
        <w:jc w:val="both"/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 xml:space="preserve">1. </w:t>
      </w:r>
      <w:r w:rsidRPr="00001C70">
        <w:rPr>
          <w:bCs/>
          <w:sz w:val="28"/>
          <w:szCs w:val="20"/>
          <w:lang w:val="uk-UA" w:eastAsia="zh-CN"/>
        </w:rPr>
        <w:t xml:space="preserve">Затвердити </w:t>
      </w:r>
      <w:r>
        <w:rPr>
          <w:bCs/>
          <w:sz w:val="28"/>
          <w:szCs w:val="20"/>
          <w:lang w:val="uk-UA" w:eastAsia="zh-CN"/>
        </w:rPr>
        <w:t>положення про консультаційні пункти з питань цивільного захисту (далі – Положення) (додається).</w:t>
      </w:r>
    </w:p>
    <w:p w:rsidR="00B04282" w:rsidRPr="00803589" w:rsidRDefault="00B04282" w:rsidP="00B04282">
      <w:pPr>
        <w:ind w:firstLine="709"/>
        <w:jc w:val="both"/>
        <w:rPr>
          <w:bCs/>
          <w:szCs w:val="16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 w:rsidRPr="00001C70">
        <w:rPr>
          <w:bCs/>
          <w:sz w:val="28"/>
          <w:szCs w:val="20"/>
          <w:lang w:val="uk-UA" w:eastAsia="zh-CN"/>
        </w:rPr>
        <w:t xml:space="preserve">2. </w:t>
      </w:r>
      <w:r w:rsidRPr="00821BE3">
        <w:rPr>
          <w:sz w:val="28"/>
          <w:szCs w:val="28"/>
          <w:lang w:val="uk-UA" w:eastAsia="zh-CN"/>
        </w:rPr>
        <w:t xml:space="preserve">Рекомендувати селищному, сільським головам, </w:t>
      </w:r>
      <w:r>
        <w:rPr>
          <w:sz w:val="28"/>
          <w:szCs w:val="28"/>
          <w:lang w:val="uk-UA" w:eastAsia="zh-CN"/>
        </w:rPr>
        <w:t xml:space="preserve">головам </w:t>
      </w:r>
      <w:proofErr w:type="spellStart"/>
      <w:r>
        <w:rPr>
          <w:sz w:val="28"/>
          <w:szCs w:val="28"/>
          <w:lang w:val="uk-UA" w:eastAsia="zh-CN"/>
        </w:rPr>
        <w:t>Мигіївської</w:t>
      </w:r>
      <w:proofErr w:type="spellEnd"/>
      <w:r>
        <w:rPr>
          <w:sz w:val="28"/>
          <w:szCs w:val="28"/>
          <w:lang w:val="uk-UA" w:eastAsia="zh-CN"/>
        </w:rPr>
        <w:t xml:space="preserve"> та Кам</w:t>
      </w:r>
      <w:r w:rsidRPr="00B0497A">
        <w:rPr>
          <w:sz w:val="28"/>
          <w:szCs w:val="28"/>
          <w:lang w:eastAsia="zh-CN"/>
        </w:rPr>
        <w:t>’</w:t>
      </w:r>
      <w:proofErr w:type="spellStart"/>
      <w:r>
        <w:rPr>
          <w:sz w:val="28"/>
          <w:szCs w:val="28"/>
          <w:lang w:val="uk-UA" w:eastAsia="zh-CN"/>
        </w:rPr>
        <w:t>яномостівської</w:t>
      </w:r>
      <w:proofErr w:type="spellEnd"/>
      <w:r>
        <w:rPr>
          <w:sz w:val="28"/>
          <w:szCs w:val="28"/>
          <w:lang w:val="uk-UA" w:eastAsia="zh-CN"/>
        </w:rPr>
        <w:t xml:space="preserve"> сільських рад:</w:t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1) створити консультаційні пункти з питань цивільного захисту (далі – Консультаційні пункти) для проведення інформаційно-просвітницької роботи з населенням щодо питань захисту і дій в умовах надзвичайних ситуацій, інформування населення про заходи реагування у разі виникнення надзвичайних ситуацій, створення умов для оволодіння громадянами навичками користування найбільш поширеними засобами захисту і надання першої само- та взаємодопомоги;</w:t>
      </w:r>
    </w:p>
    <w:p w:rsidR="00B04282" w:rsidRDefault="00B04282" w:rsidP="00B04282">
      <w:pPr>
        <w:ind w:left="5954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Термін: 21 серпня 2020 року</w:t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>2) призначити відповідальних осіб за організацію роботи консультаційних пунктів;</w:t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3) виділити для розміщення консультаційних пунктів спеціальні приміщення (кімнати, кабінети) та забезпечити їх матеріально-технічне оснащення за рахунок коштів місцевих бюджетів;</w:t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4) передбачити у місцевих бюджетах витрати на фінансування матеріально-технічного оснащення і робіт консультаційних пунктів та видання навчальних, навчально-наочних посібників, розповсюдження інформаційних матеріалів, буклетів, пам</w:t>
      </w:r>
      <w:r w:rsidRPr="00533074">
        <w:rPr>
          <w:sz w:val="28"/>
          <w:szCs w:val="28"/>
          <w:lang w:val="uk-UA" w:eastAsia="zh-CN"/>
        </w:rPr>
        <w:t>’</w:t>
      </w:r>
      <w:r>
        <w:rPr>
          <w:sz w:val="28"/>
          <w:szCs w:val="28"/>
          <w:lang w:val="uk-UA" w:eastAsia="zh-CN"/>
        </w:rPr>
        <w:t>яток з питань цивільного захисту та охорони життя і здоров</w:t>
      </w:r>
      <w:r w:rsidRPr="00533074">
        <w:rPr>
          <w:sz w:val="28"/>
          <w:szCs w:val="28"/>
          <w:lang w:val="uk-UA" w:eastAsia="zh-CN"/>
        </w:rPr>
        <w:t>’</w:t>
      </w:r>
      <w:r>
        <w:rPr>
          <w:sz w:val="28"/>
          <w:szCs w:val="28"/>
          <w:lang w:val="uk-UA" w:eastAsia="zh-CN"/>
        </w:rPr>
        <w:t>я людини у надзвичайних ситуаціях тощо;</w:t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5) забезпечити контроль за матеріально-технічним оснащенням і роботою консультаційних пунктів;</w:t>
      </w:r>
    </w:p>
    <w:p w:rsidR="00B04282" w:rsidRDefault="00B04282" w:rsidP="00B04282">
      <w:pPr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>6) сприяти проведенню огляду-конкурсу на кращу матеріально-технічну базу консультаційних пунктів щороку у вересні;</w:t>
      </w:r>
    </w:p>
    <w:p w:rsidR="00B04282" w:rsidRDefault="00B04282" w:rsidP="00B04282">
      <w:pPr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7) надати до сектору з питань оборонної роботи, цивільного захисту та взаємодії з правоохоронними органами райдержадміністрації копії відповідних розпоряджень (рішень) про створення консультаційних пунктів з питань цивільного захисту.</w:t>
      </w:r>
    </w:p>
    <w:p w:rsidR="00B04282" w:rsidRDefault="00B04282" w:rsidP="00B04282">
      <w:pPr>
        <w:ind w:firstLine="5812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Строк: 21 серпня 2020 року</w:t>
      </w:r>
    </w:p>
    <w:p w:rsidR="00B04282" w:rsidRDefault="00B04282" w:rsidP="00B0428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8) надавати до сектору з питань оборонної роботи, цивільного захисту та взаємодії з правоохоронними органами райдержадміністрації уточнені дані про розвиток мережі консультаційних пунктів сіл, селищ, об</w:t>
      </w:r>
      <w:r w:rsidRPr="00485AC2">
        <w:rPr>
          <w:sz w:val="28"/>
          <w:szCs w:val="28"/>
          <w:lang w:eastAsia="zh-CN"/>
        </w:rPr>
        <w:t>’</w:t>
      </w:r>
      <w:proofErr w:type="spellStart"/>
      <w:r>
        <w:rPr>
          <w:sz w:val="28"/>
          <w:szCs w:val="28"/>
          <w:lang w:val="uk-UA" w:eastAsia="zh-CN"/>
        </w:rPr>
        <w:t>єднаних</w:t>
      </w:r>
      <w:proofErr w:type="spellEnd"/>
      <w:r>
        <w:rPr>
          <w:sz w:val="28"/>
          <w:szCs w:val="28"/>
          <w:lang w:val="uk-UA" w:eastAsia="zh-CN"/>
        </w:rPr>
        <w:t xml:space="preserve"> територіальних громад, стан їх матеріально-технічної бази </w:t>
      </w:r>
      <w:r w:rsidRPr="00BF7A5D">
        <w:rPr>
          <w:sz w:val="28"/>
          <w:szCs w:val="28"/>
          <w:lang w:val="uk-UA" w:eastAsia="zh-CN"/>
        </w:rPr>
        <w:t xml:space="preserve">та результати огляду-конкурсу на кращу матеріально-технічну базу консультаційних пунктів </w:t>
      </w:r>
      <w:r>
        <w:rPr>
          <w:sz w:val="28"/>
          <w:szCs w:val="28"/>
          <w:lang w:val="uk-UA" w:eastAsia="zh-CN"/>
        </w:rPr>
        <w:t>у друкованому та електронному виглядах (</w:t>
      </w:r>
      <w:hyperlink r:id="rId8" w:history="1">
        <w:r w:rsidRPr="00FF40A2">
          <w:rPr>
            <w:rStyle w:val="a6"/>
            <w:sz w:val="28"/>
            <w:szCs w:val="28"/>
            <w:lang w:val="uk-UA" w:eastAsia="zh-CN"/>
          </w:rPr>
          <w:t>pervomaysk@mk.gov.ua</w:t>
        </w:r>
      </w:hyperlink>
      <w:r w:rsidRPr="00CE3945">
        <w:rPr>
          <w:sz w:val="28"/>
          <w:szCs w:val="28"/>
          <w:lang w:eastAsia="zh-CN"/>
        </w:rPr>
        <w:t xml:space="preserve">) </w:t>
      </w:r>
      <w:r>
        <w:rPr>
          <w:sz w:val="28"/>
          <w:szCs w:val="28"/>
          <w:lang w:val="uk-UA" w:eastAsia="zh-CN"/>
        </w:rPr>
        <w:t>за встановленою формою (додаток).</w:t>
      </w:r>
    </w:p>
    <w:p w:rsidR="00B04282" w:rsidRDefault="00B04282" w:rsidP="00B04282">
      <w:pPr>
        <w:ind w:left="5812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Строк: щороку до 25 листопада</w:t>
      </w: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3. Сектору з питань оборонної роботи, цивільного захисту населення та взаємодії з правоохоронними органами райдержадміністрації:</w:t>
      </w: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1) проводити огляд-конкурс на кращу матеріально-технічну базу консультаційних пунктів щороку у вересні;</w:t>
      </w: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 надати до управління з питань цивільного захисту облдержадміністрації копії відповідних розпоряджень (рішень) про створення консультаційних пунктів з питань цивільного захисту;</w:t>
      </w:r>
    </w:p>
    <w:p w:rsidR="00B04282" w:rsidRDefault="00B04282" w:rsidP="00B04282">
      <w:pPr>
        <w:ind w:left="5954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Строк: 01 вересня 2020 року</w:t>
      </w:r>
    </w:p>
    <w:p w:rsidR="00B04282" w:rsidRDefault="00B04282" w:rsidP="00B0428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B04282" w:rsidRDefault="00B04282" w:rsidP="00B04282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3) надавати управлінню з питань цивільного захисту облдержадміністрації уточнені дані про розвиток мережі консультаційних </w:t>
      </w:r>
      <w:r>
        <w:rPr>
          <w:sz w:val="28"/>
          <w:szCs w:val="28"/>
          <w:lang w:val="uk-UA" w:eastAsia="zh-CN"/>
        </w:rPr>
        <w:lastRenderedPageBreak/>
        <w:t>пунктів району, стан їх матеріально-технічної бази та результати огляду-конкурсу на кращу матеріально-технічну базу консультаційних пунктів у друкованому та електронному виглядах (</w:t>
      </w:r>
      <w:hyperlink r:id="rId9" w:history="1">
        <w:r w:rsidRPr="00FF40A2">
          <w:rPr>
            <w:rStyle w:val="a6"/>
            <w:sz w:val="28"/>
            <w:szCs w:val="28"/>
            <w:lang w:val="en-US" w:eastAsia="zh-CN"/>
          </w:rPr>
          <w:t>mns</w:t>
        </w:r>
        <w:r w:rsidRPr="00952371">
          <w:rPr>
            <w:rStyle w:val="a6"/>
            <w:sz w:val="28"/>
            <w:szCs w:val="28"/>
            <w:lang w:val="uk-UA" w:eastAsia="zh-CN"/>
          </w:rPr>
          <w:t>@</w:t>
        </w:r>
        <w:r w:rsidRPr="00FF40A2">
          <w:rPr>
            <w:rStyle w:val="a6"/>
            <w:sz w:val="28"/>
            <w:szCs w:val="28"/>
            <w:lang w:val="en-US" w:eastAsia="zh-CN"/>
          </w:rPr>
          <w:t>mk</w:t>
        </w:r>
        <w:r w:rsidRPr="00952371">
          <w:rPr>
            <w:rStyle w:val="a6"/>
            <w:sz w:val="28"/>
            <w:szCs w:val="28"/>
            <w:lang w:val="uk-UA" w:eastAsia="zh-CN"/>
          </w:rPr>
          <w:t>.</w:t>
        </w:r>
        <w:r w:rsidRPr="00FF40A2">
          <w:rPr>
            <w:rStyle w:val="a6"/>
            <w:sz w:val="28"/>
            <w:szCs w:val="28"/>
            <w:lang w:val="en-US" w:eastAsia="zh-CN"/>
          </w:rPr>
          <w:t>gov</w:t>
        </w:r>
        <w:r w:rsidRPr="00952371">
          <w:rPr>
            <w:rStyle w:val="a6"/>
            <w:sz w:val="28"/>
            <w:szCs w:val="28"/>
            <w:lang w:val="uk-UA" w:eastAsia="zh-CN"/>
          </w:rPr>
          <w:t>.</w:t>
        </w:r>
        <w:proofErr w:type="spellStart"/>
        <w:r w:rsidRPr="00FF40A2">
          <w:rPr>
            <w:rStyle w:val="a6"/>
            <w:sz w:val="28"/>
            <w:szCs w:val="28"/>
            <w:lang w:val="en-US" w:eastAsia="zh-CN"/>
          </w:rPr>
          <w:t>ua</w:t>
        </w:r>
        <w:proofErr w:type="spellEnd"/>
      </w:hyperlink>
      <w:r w:rsidRPr="00952371">
        <w:rPr>
          <w:sz w:val="28"/>
          <w:szCs w:val="28"/>
          <w:lang w:val="uk-UA" w:eastAsia="zh-CN"/>
        </w:rPr>
        <w:t xml:space="preserve">) </w:t>
      </w:r>
      <w:r>
        <w:rPr>
          <w:sz w:val="28"/>
          <w:szCs w:val="28"/>
          <w:lang w:val="uk-UA" w:eastAsia="zh-CN"/>
        </w:rPr>
        <w:t>за встановленою формою (додаток).</w:t>
      </w:r>
    </w:p>
    <w:p w:rsidR="00B04282" w:rsidRDefault="00B04282" w:rsidP="00B04282">
      <w:pPr>
        <w:ind w:left="5954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Строк: щороку до 01 грудня</w:t>
      </w:r>
    </w:p>
    <w:p w:rsidR="00B04282" w:rsidRDefault="00B04282" w:rsidP="00B04282">
      <w:pPr>
        <w:ind w:left="5954"/>
        <w:jc w:val="both"/>
        <w:rPr>
          <w:sz w:val="28"/>
          <w:szCs w:val="28"/>
          <w:lang w:val="uk-UA" w:eastAsia="zh-CN"/>
        </w:rPr>
      </w:pPr>
    </w:p>
    <w:p w:rsidR="00B04282" w:rsidRPr="00952371" w:rsidRDefault="00B04282" w:rsidP="00B04282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  <w:t>4. Визнати таким, що втратило чинність, розпорядження голови райдержадміністрації від 07 березня 2012 року № 117-р «</w:t>
      </w:r>
      <w:r w:rsidRPr="000668F3">
        <w:rPr>
          <w:sz w:val="28"/>
          <w:szCs w:val="28"/>
          <w:lang w:val="uk-UA" w:eastAsia="zh-CN"/>
        </w:rPr>
        <w:t>Про порядок створення та організації</w:t>
      </w:r>
      <w:r>
        <w:rPr>
          <w:sz w:val="28"/>
          <w:szCs w:val="28"/>
          <w:lang w:val="uk-UA" w:eastAsia="zh-CN"/>
        </w:rPr>
        <w:t xml:space="preserve"> </w:t>
      </w:r>
      <w:r w:rsidRPr="000668F3">
        <w:rPr>
          <w:sz w:val="28"/>
          <w:szCs w:val="28"/>
          <w:lang w:val="uk-UA" w:eastAsia="zh-CN"/>
        </w:rPr>
        <w:t>роботи консультаційних пунктів з питань цивільного захисту (цивільної оборони) при житлово-експлуатаційних організаціях та сільських, селищній радах</w:t>
      </w:r>
      <w:r>
        <w:rPr>
          <w:sz w:val="28"/>
          <w:szCs w:val="28"/>
          <w:lang w:val="uk-UA" w:eastAsia="zh-CN"/>
        </w:rPr>
        <w:t>».</w:t>
      </w:r>
    </w:p>
    <w:p w:rsidR="00B04282" w:rsidRDefault="00B04282" w:rsidP="00B04282">
      <w:pPr>
        <w:ind w:firstLine="708"/>
        <w:jc w:val="both"/>
        <w:rPr>
          <w:sz w:val="28"/>
          <w:szCs w:val="28"/>
          <w:lang w:val="uk-UA" w:eastAsia="zh-CN"/>
        </w:rPr>
      </w:pPr>
    </w:p>
    <w:p w:rsidR="00B04282" w:rsidRDefault="00B04282" w:rsidP="00B04282">
      <w:pPr>
        <w:suppressAutoHyphens w:val="0"/>
        <w:ind w:firstLine="708"/>
        <w:contextualSpacing/>
        <w:jc w:val="both"/>
        <w:rPr>
          <w:bCs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5. </w:t>
      </w:r>
      <w:r w:rsidRPr="00001C70">
        <w:rPr>
          <w:sz w:val="28"/>
          <w:szCs w:val="28"/>
          <w:lang w:eastAsia="zh-CN"/>
        </w:rPr>
        <w:t xml:space="preserve">Контроль за </w:t>
      </w:r>
      <w:r w:rsidRPr="00AB1B1E">
        <w:rPr>
          <w:sz w:val="28"/>
          <w:szCs w:val="28"/>
          <w:lang w:val="uk-UA" w:eastAsia="zh-CN"/>
        </w:rPr>
        <w:t>виконанням цього розпорядження</w:t>
      </w:r>
      <w:r>
        <w:rPr>
          <w:sz w:val="28"/>
          <w:szCs w:val="28"/>
          <w:lang w:val="uk-UA" w:eastAsia="zh-CN"/>
        </w:rPr>
        <w:t xml:space="preserve"> покласти на заступника голови Первомайської районної державної </w:t>
      </w:r>
      <w:proofErr w:type="gramStart"/>
      <w:r>
        <w:rPr>
          <w:sz w:val="28"/>
          <w:szCs w:val="28"/>
          <w:lang w:val="uk-UA" w:eastAsia="zh-CN"/>
        </w:rPr>
        <w:t>адм</w:t>
      </w:r>
      <w:proofErr w:type="gramEnd"/>
      <w:r>
        <w:rPr>
          <w:sz w:val="28"/>
          <w:szCs w:val="28"/>
          <w:lang w:val="uk-UA" w:eastAsia="zh-CN"/>
        </w:rPr>
        <w:t>іністрації Юрченка О</w:t>
      </w:r>
      <w:r w:rsidRPr="00001C70">
        <w:rPr>
          <w:sz w:val="28"/>
          <w:szCs w:val="28"/>
          <w:lang w:val="uk-UA" w:eastAsia="zh-CN"/>
        </w:rPr>
        <w:t>.</w:t>
      </w:r>
      <w:r>
        <w:rPr>
          <w:sz w:val="28"/>
          <w:szCs w:val="28"/>
          <w:lang w:val="uk-UA" w:eastAsia="zh-CN"/>
        </w:rPr>
        <w:t>А.</w:t>
      </w:r>
    </w:p>
    <w:p w:rsidR="00B04282" w:rsidRDefault="00B04282" w:rsidP="00B04282">
      <w:pPr>
        <w:suppressAutoHyphens w:val="0"/>
        <w:rPr>
          <w:rFonts w:eastAsia="Calibri"/>
          <w:szCs w:val="16"/>
          <w:lang w:val="uk-UA" w:eastAsia="en-US"/>
        </w:rPr>
      </w:pPr>
    </w:p>
    <w:p w:rsidR="00B04282" w:rsidRPr="00803589" w:rsidRDefault="00B04282" w:rsidP="00B04282">
      <w:pPr>
        <w:suppressAutoHyphens w:val="0"/>
        <w:rPr>
          <w:rFonts w:eastAsia="Calibri"/>
          <w:szCs w:val="16"/>
          <w:lang w:val="uk-UA" w:eastAsia="en-US"/>
        </w:rPr>
      </w:pPr>
    </w:p>
    <w:p w:rsidR="00B04282" w:rsidRDefault="00B04282" w:rsidP="00B04282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FF16CD">
        <w:rPr>
          <w:rFonts w:eastAsia="Calibri"/>
          <w:sz w:val="28"/>
          <w:szCs w:val="28"/>
          <w:lang w:val="uk-UA" w:eastAsia="en-US"/>
        </w:rPr>
        <w:t xml:space="preserve">Голова  райдержадміністрації                        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Сергій САКОВСЬКИЙ</w:t>
      </w: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7088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7088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7088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ind w:left="708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</w:t>
      </w:r>
    </w:p>
    <w:p w:rsidR="00B04282" w:rsidRPr="00F20750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  <w:r w:rsidRPr="00F20750">
        <w:rPr>
          <w:rFonts w:eastAsia="Calibri"/>
          <w:sz w:val="28"/>
          <w:szCs w:val="28"/>
          <w:lang w:val="uk-UA" w:eastAsia="en-US"/>
        </w:rPr>
        <w:t>ЗАТВЕРДЖЕНО</w:t>
      </w:r>
    </w:p>
    <w:p w:rsidR="00B04282" w:rsidRPr="00F20750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Розпорядження   </w:t>
      </w:r>
      <w:r w:rsidRPr="00F20750">
        <w:rPr>
          <w:rFonts w:eastAsia="Calibri"/>
          <w:sz w:val="28"/>
          <w:szCs w:val="28"/>
          <w:lang w:val="uk-UA" w:eastAsia="en-US"/>
        </w:rPr>
        <w:t xml:space="preserve">голови </w:t>
      </w:r>
    </w:p>
    <w:p w:rsidR="00B04282" w:rsidRPr="00F20750" w:rsidRDefault="00B04282" w:rsidP="00B04282">
      <w:pPr>
        <w:ind w:left="6096"/>
        <w:rPr>
          <w:rFonts w:eastAsia="Calibri"/>
          <w:sz w:val="28"/>
          <w:szCs w:val="28"/>
          <w:lang w:val="uk-UA" w:eastAsia="en-US"/>
        </w:rPr>
      </w:pPr>
      <w:r w:rsidRPr="00F20750">
        <w:rPr>
          <w:rFonts w:eastAsia="Calibri"/>
          <w:sz w:val="28"/>
          <w:szCs w:val="28"/>
          <w:lang w:val="uk-UA" w:eastAsia="en-US"/>
        </w:rPr>
        <w:t xml:space="preserve">Первомайської районної </w:t>
      </w:r>
      <w:r>
        <w:rPr>
          <w:rFonts w:eastAsia="Calibri"/>
          <w:sz w:val="28"/>
          <w:szCs w:val="28"/>
          <w:lang w:val="uk-UA" w:eastAsia="en-US"/>
        </w:rPr>
        <w:t xml:space="preserve">державної  </w:t>
      </w:r>
      <w:r w:rsidRPr="00F20750">
        <w:rPr>
          <w:rFonts w:eastAsia="Calibri"/>
          <w:sz w:val="28"/>
          <w:szCs w:val="28"/>
          <w:lang w:val="uk-UA" w:eastAsia="en-US"/>
        </w:rPr>
        <w:t xml:space="preserve">адміністрації </w:t>
      </w:r>
    </w:p>
    <w:p w:rsidR="00B04282" w:rsidRPr="00F20750" w:rsidRDefault="00B04282" w:rsidP="00B04282">
      <w:pPr>
        <w:rPr>
          <w:rFonts w:eastAsia="Calibri"/>
          <w:sz w:val="28"/>
          <w:szCs w:val="28"/>
          <w:lang w:val="uk-UA" w:eastAsia="en-US"/>
        </w:rPr>
      </w:pPr>
      <w:r w:rsidRPr="004636C9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 від 20.07.</w:t>
      </w:r>
      <w:r w:rsidRPr="004636C9">
        <w:rPr>
          <w:rFonts w:eastAsia="Calibri"/>
          <w:sz w:val="28"/>
          <w:szCs w:val="28"/>
          <w:u w:val="single"/>
          <w:lang w:val="uk-UA" w:eastAsia="en-US"/>
        </w:rPr>
        <w:t>2020</w:t>
      </w:r>
      <w:r>
        <w:rPr>
          <w:rFonts w:eastAsia="Calibri"/>
          <w:sz w:val="28"/>
          <w:szCs w:val="28"/>
          <w:u w:val="single"/>
          <w:lang w:val="uk-UA" w:eastAsia="en-US"/>
        </w:rPr>
        <w:t xml:space="preserve"> р.</w:t>
      </w:r>
      <w:r w:rsidRPr="00176757">
        <w:rPr>
          <w:rFonts w:eastAsia="Calibri"/>
          <w:sz w:val="28"/>
          <w:szCs w:val="28"/>
          <w:u w:val="single"/>
          <w:lang w:val="uk-UA" w:eastAsia="en-US"/>
        </w:rPr>
        <w:t xml:space="preserve"> № 1</w:t>
      </w:r>
      <w:r>
        <w:rPr>
          <w:rFonts w:eastAsia="Calibri"/>
          <w:sz w:val="28"/>
          <w:szCs w:val="28"/>
          <w:u w:val="single"/>
          <w:lang w:val="uk-UA" w:eastAsia="en-US"/>
        </w:rPr>
        <w:t>50</w:t>
      </w:r>
      <w:r w:rsidRPr="004636C9">
        <w:rPr>
          <w:rFonts w:eastAsia="Calibri"/>
          <w:sz w:val="28"/>
          <w:szCs w:val="28"/>
          <w:u w:val="single"/>
          <w:lang w:val="uk-UA" w:eastAsia="en-US"/>
        </w:rPr>
        <w:t>-р</w:t>
      </w:r>
    </w:p>
    <w:p w:rsidR="00B04282" w:rsidRPr="00F20750" w:rsidRDefault="00B04282" w:rsidP="00B04282">
      <w:pPr>
        <w:rPr>
          <w:rFonts w:eastAsia="Calibri"/>
          <w:sz w:val="28"/>
          <w:szCs w:val="28"/>
          <w:lang w:val="uk-UA" w:eastAsia="en-US"/>
        </w:rPr>
      </w:pPr>
    </w:p>
    <w:p w:rsidR="00B04282" w:rsidRPr="00F20750" w:rsidRDefault="00B04282" w:rsidP="00B04282">
      <w:pPr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  <w:r w:rsidRPr="002165AC">
        <w:rPr>
          <w:rFonts w:eastAsia="Calibri"/>
          <w:b/>
          <w:sz w:val="28"/>
          <w:szCs w:val="28"/>
          <w:lang w:val="uk-UA" w:eastAsia="en-US"/>
        </w:rPr>
        <w:t>ПОЛОЖЕННЯ</w:t>
      </w:r>
    </w:p>
    <w:p w:rsidR="00B04282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165AC">
        <w:rPr>
          <w:rFonts w:eastAsia="Calibri"/>
          <w:b/>
          <w:sz w:val="28"/>
          <w:szCs w:val="28"/>
          <w:lang w:val="uk-UA" w:eastAsia="en-US"/>
        </w:rPr>
        <w:t>про консультаційні пункти з питань цивільного захисту</w:t>
      </w:r>
    </w:p>
    <w:p w:rsidR="00B04282" w:rsidRPr="002165AC" w:rsidRDefault="00B04282" w:rsidP="00B04282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2165AC">
        <w:rPr>
          <w:rFonts w:eastAsia="Calibri"/>
          <w:b/>
          <w:sz w:val="28"/>
          <w:szCs w:val="28"/>
          <w:lang w:val="uk-UA" w:eastAsia="en-US"/>
        </w:rPr>
        <w:t>І. Загальні положення</w:t>
      </w:r>
    </w:p>
    <w:p w:rsidR="00B04282" w:rsidRPr="003C083F" w:rsidRDefault="00B04282" w:rsidP="00B04282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1. Положення визначає вимоги до порядку створення та організації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роботи консультаційного пункту з питань цивільного захисту при житлово</w:t>
      </w:r>
      <w:r>
        <w:rPr>
          <w:rFonts w:eastAsia="Calibri"/>
          <w:sz w:val="28"/>
          <w:szCs w:val="28"/>
          <w:lang w:val="uk-UA" w:eastAsia="en-US"/>
        </w:rPr>
        <w:t>-</w:t>
      </w:r>
      <w:r w:rsidRPr="002165AC">
        <w:rPr>
          <w:rFonts w:eastAsia="Calibri"/>
          <w:sz w:val="28"/>
          <w:szCs w:val="28"/>
          <w:lang w:val="uk-UA" w:eastAsia="en-US"/>
        </w:rPr>
        <w:t>експлуатаційних організаціях, органах місцевого самоврядування (об’єднаних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територіальних громадах, сільських (селищних) радах).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Консультаційні пункти з питань цивільного захисту (далі-консультаційні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пункти) є осередками проведення інформаційно-просвітницької роботи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пропаганди знань з питань захисту та дій у надзвичайних ситуаціях серед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непрацюючого населення.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2. Діяльність консультаційних пунктів організовується відповідно 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вимог Кодексу цивільного захисту України, Порядку здійснення навчання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діям у надзвичайних ситуаціях, затвердженого постановою Кабінету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Міністрів України від 26 червня 2013 року № 444, та наказу Міністерства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 ситуацій України від 07 червня 2011 року № 587 “Про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затвердження Методичних рекомендацій щодо порядку створення, обладнання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та забезпечення функціонування консультаційних пунктів з питань цивільного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захисту при житлово-експлуатаційних організаціях та сільських (селищних)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радах”.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3. Мережа консультаційних пунктів на адміністративній території,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району, об’єднаної територіальної громади створюється розпорядженнями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 голови районної державної адміністрації, голови об’єднаної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територіальної громади: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у сільських районах - при сільських, селищних радах.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Один консультаційний пункт може обслуговувати мешканців групи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будинків (мікрорайон), у яких мешкає не більше 1500-2000 громадян.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Населення, яке мешкає у власних будинках, розпорядженнями голів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районних державних адміністрацій, сільських, селищних, міських голів, голів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об’єднаних територіальних громад закріплюється для навчання за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відповідними консультаційними пунктами за територіальним принципом.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4. На підставі розпорядження голів районних державних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адміністрацій, голови об’єднаної територіальної громади консультаційні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пункти при </w:t>
      </w:r>
      <w:r w:rsidRPr="002165AC">
        <w:rPr>
          <w:rFonts w:eastAsia="Calibri"/>
          <w:sz w:val="28"/>
          <w:szCs w:val="28"/>
          <w:lang w:val="uk-UA" w:eastAsia="en-US"/>
        </w:rPr>
        <w:lastRenderedPageBreak/>
        <w:t>експлуатаційних організаціях, сільських (селищних) радах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створюються наказами їх керівників, у яких вказується: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перелік приміщень, які виділені для розташування пункту, та строки його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обладнання;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мікрорайон (група будинків тощо), мешканці яких охоплюються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навчанням на пункті;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особи, відповідальні за створення, обладнання (посадова особа органу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влади, організації, при яких створюється пункт) та організацію роботи пункту;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кількість консультантів - фахівців різних напрямів (цивільного захисту,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безпеки життєдіяльності, медицини, пожежної безпеки, охорони праці тощо),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які залучаються до роботи пункту на громадських засадах;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порядок роботи пункту та організації проведення консультацій;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порядок взаємодії пункту з керівництвом об’єктів потенційної небезпеки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щодо забезпечення надходження від них інформації про стан безпеки;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порядок роботи з населенням, організаціями, підприємствами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установами щодо створення активу з питань цивільного захисту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консультаційного пункту на місцях;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порядок забезпечення пункту необхідним майном, літературою,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навчальними посібниками та технічними засобами;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облік та звітність про проведену пунктом за рік роботу;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особа, відповідальна за виконання наказу.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5. У повсякденній діяльності консультаційні пункти керуються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положенням про них.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Положення консультаційного пункту розробляється відповідно до вимог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нормативних актів та цього Положення посадовою особою експлуатаційної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організації, сільської (селищної) ради, яка відповідає за питання цивільного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захисту організації (органу влади), погоджується структурним підрозділом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(посадовою особою) з питань цивільного захисту району (міста, сільської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(селищної) ради) та затверджується керівником експлуатаційної організації,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сільським, селищним головою, головою об’єднаної територіальної громади.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6. Загальне керівництво консультаційним пунктом здійснюють сільські,</w:t>
      </w:r>
      <w:r>
        <w:rPr>
          <w:rFonts w:eastAsia="Calibri"/>
          <w:sz w:val="28"/>
          <w:szCs w:val="28"/>
          <w:lang w:val="uk-UA" w:eastAsia="en-US"/>
        </w:rPr>
        <w:t xml:space="preserve"> с</w:t>
      </w:r>
      <w:r w:rsidRPr="002165AC">
        <w:rPr>
          <w:rFonts w:eastAsia="Calibri"/>
          <w:sz w:val="28"/>
          <w:szCs w:val="28"/>
          <w:lang w:val="uk-UA" w:eastAsia="en-US"/>
        </w:rPr>
        <w:t>елищні, міські голови, голови об’єднаних територіальних громад, керівники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організацій, на базі яких створено пункти.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7. Контроль за діяльністю консультаційних пунктів здійснюється: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посадовими особами органів місцевого самоврядування,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експлуатаційними організаціями, при яких створено пункти, та працівниками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структурних підрозділів з питань цивільного захисту районних державних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адміністрацій, відповідних виконавчих органів сільських, селищних, міських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рад та об’єднаних територіальних громад;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структурними підрозділами з питань цивільного захисту районних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державних адміністрацій, відповідних виконавчих органів сільських, селищних рад та об’єднаних територіальних громад при проведенні щорічних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оглядів-конкурсів на кращий консультаційний пункт.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lastRenderedPageBreak/>
        <w:t xml:space="preserve">8.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Консультаційно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>-методична допомога з організації роботи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консультаційних пунктів здійснюється педагогічними працівниками навчально</w:t>
      </w:r>
      <w:r>
        <w:rPr>
          <w:rFonts w:eastAsia="Calibri"/>
          <w:sz w:val="28"/>
          <w:szCs w:val="28"/>
          <w:lang w:val="uk-UA" w:eastAsia="en-US"/>
        </w:rPr>
        <w:t>-</w:t>
      </w:r>
      <w:r w:rsidRPr="002165AC">
        <w:rPr>
          <w:rFonts w:eastAsia="Calibri"/>
          <w:sz w:val="28"/>
          <w:szCs w:val="28"/>
          <w:lang w:val="uk-UA" w:eastAsia="en-US"/>
        </w:rPr>
        <w:t>методичного центру цивільного захисту та безпеки життєдіяльності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Миколаївської області (далі - курси, центр).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6161">
        <w:rPr>
          <w:rFonts w:eastAsia="Calibri"/>
          <w:b/>
          <w:sz w:val="28"/>
          <w:szCs w:val="28"/>
          <w:lang w:val="uk-UA" w:eastAsia="en-US"/>
        </w:rPr>
        <w:t>II. Завдання консультаційного пункту та їх кадрове забезпечення</w:t>
      </w:r>
    </w:p>
    <w:p w:rsidR="00B04282" w:rsidRPr="007F6161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1. Головними завданнями консультаційного пункту є: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участь у підготовці населення з питань захисту та дій у надзвичайних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ситуаціях за тематикою консультацій, рекомендованих Державною службою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України з надзвичайних ситуацій;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сприяння розвитку громадської свідомості щодо особистої та колективної</w:t>
      </w:r>
    </w:p>
    <w:p w:rsidR="00B04282" w:rsidRPr="002165AC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безпеки;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підвищення рівня морально-психологічного стану громадян в умовах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загрози і виникнення надзвичайних ситуацій.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2. Відповідно до покладених на них головних завдань консультаційні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пункти забезпечують доведення до непрацюючого населення правил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рекомендацій щодо: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дій в умовах надзвичайних ситуацій та проявів терористичних актів;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застосування засобів індивідуального та колективного захисту;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 xml:space="preserve">надання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домедичної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 xml:space="preserve"> само- та взаємодопомоги постраждалим;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поведінки в несприятливих побутових і нестандартних ситуаціях;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забезпечення особистої та колективної безпечної життєдіяльності в різні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пори року;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створення умов для самостійного вивчення населенням матеріалів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посібників, пам’яток, іншого друкованого навчально-інформаційного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матеріалу, перегляду та прослуховування спеціального циклу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теле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>-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радіопередач;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надання інформації населенню щодо прав та обов’язків громадян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 сфері цивільного захисту;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участь в інформаційно-просвітницькій роботі та пропаганді знань серед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з питань заходів цивільного захисту, які сплановані та проводяться у</w:t>
      </w:r>
    </w:p>
    <w:p w:rsidR="00B04282" w:rsidRPr="002165AC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регіоні, а також роз’яснення правил поведінки та дій в умовах виникнення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надзвичайних, несприятливих побутових або нестандартних ситуацій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(організація та участь у виставках, змаганнях, оглядах-конкурсах, бесідах,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вікторинах, виступах по радіо та телебаченню, поширення друкованої, аудіо та</w:t>
      </w:r>
    </w:p>
    <w:p w:rsidR="00B04282" w:rsidRPr="002165AC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відеопродукції, тощо);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доведення до мешканців конкретних повідомлень, що стосуються участі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у заходах цивільного захисту за місцем проживання (дій за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попереджувальним сигналом “Увага всім!”, при проведенні евакуаційних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заходів, інформації про місця знаходження захисних споруд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цивільного захисту (далі-захисні споруди), пунктів видачі засобів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індивідуального захисту, тощо);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створення та удосконалення необхідної навчально-матеріальної бази.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3. Безпосередня відповідальність за організацію роботи консультаційного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пункту покладається на штатну (позаштатну) спеціально призначену посадову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lastRenderedPageBreak/>
        <w:t>особу з питань цивільного захисту експ</w:t>
      </w:r>
      <w:r>
        <w:rPr>
          <w:rFonts w:eastAsia="Calibri"/>
          <w:sz w:val="28"/>
          <w:szCs w:val="28"/>
          <w:lang w:val="uk-UA" w:eastAsia="en-US"/>
        </w:rPr>
        <w:t xml:space="preserve">луатаційної організації, </w:t>
      </w:r>
      <w:r w:rsidRPr="002165AC">
        <w:rPr>
          <w:rFonts w:eastAsia="Calibri"/>
          <w:sz w:val="28"/>
          <w:szCs w:val="28"/>
          <w:lang w:val="uk-UA" w:eastAsia="en-US"/>
        </w:rPr>
        <w:t>сільської (селищної) ради, яка працює під контролем її керівника, а у відомчому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житловому секторі - керівника відповідного підприємства, організації.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Крім осіб, які безпосередньо відповідають за роботу консультаційних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пунктів до проведення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просвітницько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>-інформаційної роботи і пропаганди знань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цивільного захисту серед населення можуть залучатися (за їх згодою) активісти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 числа ветеранів цивільного захисту, викладачі нормативних дисциплін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«Безпека життєдіяльності» та «Цивільних захист» закладів вищої освіти, 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також студенти старших курсів закладів вищої освіти, медичний персонал,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громадяни, які раніше успішно пройшли повний курс навчання та мають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необхідну підготовку.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4. До складу працівників консультаційного пункту входять завідувач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інструктори, які призначаються наказом керівника. Кількість інструкторів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визначає керівник, виходячи з розпорядку роботи консультаційного пункту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обсягу роботи.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До проведення занять з населенням також можуть залучатися за їх згодою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 громадських засадах консультанти з числа ветеранів цивільного захисту,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викладачі нормативних дисциплін “Безпека життєдіяльності” та “Цивільний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захист” закладів вищої освіти, а також студенти старших курсів закладів вищої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освіти, медичний персонал, громадяни, які раніше успішно пройшли повний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курс навчання та мають необхідну підготовку.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5. Особа, яка безпосередньо організовує роботу консультаційного пункту,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відповідає за планування заходів, що проводяться на пункті, зміст та своєчасне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оновлення наочної інформації, організацію роботи консультантів з числа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активістів цивільного захисту, стан навчально-матеріальної бази та зобов’язана: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розробляти та вести плануючі, облікові та звітні документи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консультаційного пункту;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організовувати проведення консультацій з питань захисту та дій в умовах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 ситуацій за порядком та в обсязі, установленому наказом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керівника організації, органу влади;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проводити інструктаж консультантів;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забезпечувати необхідною літературою та приладами мешканців, які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побажали самостійно вивчати питання щодо їх захисту та правильних дій 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умовах надзвичайних ситуацій;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вести облік заходів, проведених з навчання непрацюючого населення 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закріпленому за пунктом районі;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складати звіти про виконання плану роботи консультаційного пункту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 представляти їх керівникові організації, органу влади;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складати заявки на придбання навчального і наочного приладдя,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технічних засобів навчання, літератури, вести їх облік, зберігання та своєчасне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списання;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стежити за станом та порядком у приміщеннях, які використовуються для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забезпечення консультаційної роботи;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брати участь у заходах інформаційно-просвітницької роботи з пропаганди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знань серед населення з питань захисту та дій в умовах </w:t>
      </w:r>
      <w:r>
        <w:rPr>
          <w:rFonts w:eastAsia="Calibri"/>
          <w:sz w:val="28"/>
          <w:szCs w:val="28"/>
          <w:lang w:val="uk-UA" w:eastAsia="en-US"/>
        </w:rPr>
        <w:t xml:space="preserve"> н</w:t>
      </w:r>
      <w:r w:rsidRPr="002165AC">
        <w:rPr>
          <w:rFonts w:eastAsia="Calibri"/>
          <w:sz w:val="28"/>
          <w:szCs w:val="28"/>
          <w:lang w:val="uk-UA" w:eastAsia="en-US"/>
        </w:rPr>
        <w:t>адзвичайних ситуацій;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lastRenderedPageBreak/>
        <w:t>контролювати та планувати підготовку в сфері цивільного захисту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працівників пункту;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підтримувати постійну взаємодію з питань навчання з органами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управління з питань цивільного захисту та курсами, центрами.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Для співробітників пункту, у тому числі і для тих, які працюють за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сумісництвом або на громадських засадах, функціональні обов’язки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розробляються спеціально призначеною особою з питань цивільного захисту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організації (органу влади), при якій створено пункт та затверджуються її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керівником.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6. Особа, яка безпосередньо організовує роботу консультаційного пункту,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 встановлений термін проходить підготовку на територіальних курсах центру.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7F6161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6161">
        <w:rPr>
          <w:rFonts w:eastAsia="Calibri"/>
          <w:b/>
          <w:sz w:val="28"/>
          <w:szCs w:val="28"/>
          <w:lang w:val="uk-UA" w:eastAsia="en-US"/>
        </w:rPr>
        <w:t>ПІ. Матеріально - технічне забезпечення діяльності</w:t>
      </w:r>
    </w:p>
    <w:p w:rsidR="00B04282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F6161">
        <w:rPr>
          <w:rFonts w:eastAsia="Calibri"/>
          <w:b/>
          <w:sz w:val="28"/>
          <w:szCs w:val="28"/>
          <w:lang w:val="uk-UA" w:eastAsia="en-US"/>
        </w:rPr>
        <w:t>консультаційного пункту</w:t>
      </w:r>
    </w:p>
    <w:p w:rsidR="00B04282" w:rsidRPr="002165AC" w:rsidRDefault="00B04282" w:rsidP="00B04282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1. Навчальна матеріально-технічна база консультаційного пункту з питань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цивільного захисту експл</w:t>
      </w:r>
      <w:r>
        <w:rPr>
          <w:rFonts w:eastAsia="Calibri"/>
          <w:sz w:val="28"/>
          <w:szCs w:val="28"/>
          <w:lang w:val="uk-UA" w:eastAsia="en-US"/>
        </w:rPr>
        <w:t>уатаційної організації,</w:t>
      </w:r>
      <w:r w:rsidRPr="002165AC">
        <w:rPr>
          <w:rFonts w:eastAsia="Calibri"/>
          <w:sz w:val="28"/>
          <w:szCs w:val="28"/>
          <w:lang w:val="uk-UA" w:eastAsia="en-US"/>
        </w:rPr>
        <w:t xml:space="preserve"> сільської (селищної)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ради, об’єднаної територіальної громади включає: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інформаційно-довідковий куточок з питань цивільного захисту, що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забезпечує доступне доведення до мешканців певної території необхідної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інформації з питань цивільного захисту та повідомлень, розроблених на основі</w:t>
      </w:r>
    </w:p>
    <w:p w:rsidR="00B04282" w:rsidRPr="002165AC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аналізу особливостей місцевих умов та ймовірних місцевих небезпек, які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можуть спричинити надзвичайні ситуації;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окреме приміщення, призначене для проведення роз’яснювальної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консультаційної роботи щодо дій в разі виникнення аварій, катастроф,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стихійних лих, імовірних для конкретної території та надання практичної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допомоги населенню у самостійній підготовці за спеціальними програмами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підготовки населення до дій у надзвичайних ситуаціях.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2. Рішенням керівника експлуатаційної організації, сільської (селищної)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ради для консультаційного пункту виділяється приміщення у адміністративній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будівлі організації, яке оснащується необхідними меблями (столи, стільці,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шафи тощо).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Біля вхідних дверей консультаційного пункту розміщується табличка 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надписом «Консультаційний пункт з питань цивільного захисту».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 видному місці розташовуються розпорядок дня,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графік проведення консультацій, прізвища та телефони консультантів.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Засоби обладнання та оснащення консультаційного пункту повинні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відповідати сучасним вимогам теорії та практики захисту населення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територій від надзвичайних ситуацій техногенного та природного характеру.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Кожний відвідувач пункту повинен мати можливість отримати конкретну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та вичерпну інформацію про ймовірні надзвичайні ситуації у районі його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проживання, місця укриття та маршрути проходу до них, про адреси пунктів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видачі засобів індивідуального захисту, порядок евакуації тощо.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lastRenderedPageBreak/>
        <w:t>3. Інформаційно-довідковий куточок з питань цивільного захисту є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обов’язковим елементом консультаційного пункту експлуатаційної організації,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сільської (селищної) ради та являє собою окремий стенд з тематично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оформленими планшетами.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Інформаційно-довідкові кутки розміщуються у легкодоступних для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огляду місцях з масовим перебуванням людей адміністративного приміщення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організації (коридори, холи,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вестибулі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 xml:space="preserve"> тощо).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4. Тематичний зміст планшетів інформаційно-довідкового кутка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викладається зрозуміло, наочно, вкрай лаконічно та розміром шрифту, що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забезпечує його легке застосування та включає: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пам’ятку щодо порядку зв’язку з екстреними службами, які діють за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скороченими телефонними номерами (101, 102, 103, 104 тощо)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комунальними аварійними службами допомоги населенню;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карти-схеми зони відповідальності експлуатаційної організації, сільської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(селищної) ради з інформацією про імовірні загрози техногенного характеру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(аварій, катастроф на потенційно-небезпечних підприємствах), наслідки яких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можуть негативно впливати на життєдіяльність населення;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сигнали цивільного захисту (порядок оповіщення населення) у разі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виникнення аварії, катастрофи або стихійного лиха, дії населення з отриманням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таких сигналів або інформації;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рекомендації щодо засобів захисту від впливу небезпечних факторів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імовірних загроз техногенного характеру та правил поведінки під час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виникнення аварій та катастроф;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інформацію про імовірні загрози природного характеру (стихійні лиха)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відповідно до пори року, наслідки яких можуть негативно впливати 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життєдіяльність населення, що мешкає на території експлуатаційної організації,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сільської (селищної) ради та рекомендації щодо засобів захисту від впливу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небезпечних факторів імовірних сезонних загроз природного характеру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правил поведінки під час стихійного лиха;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схему розміщення захисних споруд цивільного захисту (цивільної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оборони) (далі - захисні споруди), закріплення мешканців житлових будинків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 захисними спорудами, маршрути висування населення до них, порядок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отримання населенням засобів індивідуального захисту;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порядок проведення евакуації населення із схемою розміщення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адресами збірних евакуаційних пунктів, рекомендації щодо готовності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до проведення евакуаційних заходів;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розклад роботи консультаційного пункту та порядок отримання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консультаційної допомоги з питань цивільного захисту.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Зміст інформаційно-довідкового кутка сільської (селищної) ради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доповнюється додатковими розділами: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рекомендаціями щодо захисту сільськогосподарських тварин, рослин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продуктів сільськогосподарського виробництва, продуктів харчування, фуражу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 води (з урахуванням місцевої специфіки);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порядком організації прийому евакуйованого населення (у разі наявності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таких завдань).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lastRenderedPageBreak/>
        <w:t>5. Для тематичного оформлення приміщення консультаційного пункту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використовуються: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навчально-наочні посібники (плакати, стенди);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спеціальна навчальна література;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технічні засоби навчання;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навчальне майно.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6. Навчально-наочні посібники (плакати, стенди) розміщуються на стінах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приміщення консультаційного пункту та можуть містити, з урахуванням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місцевих особливостей, інформаційні матеріали наступного змісту: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структура єдиної державної системи цивільного захисту (склад органів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цивільного захисту, обов’язки центральних та місцевих органів виконавчої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влади, органів місцевого самоврядування щодо цивільного захисту населення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територій від надзвичайних ситуацій);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права і обов’язки громадян щодо захисту населення і територій від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 ситуацій, обов’язки дорослого населення щодо захисту дітей;</w:t>
      </w:r>
    </w:p>
    <w:p w:rsidR="00B04282" w:rsidRPr="002165AC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правила особистої, пожежної та техногенної безпеки; класифікація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 ситуацій; хімічна небезпека; радіація; електричний струм; увага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газ; розлив ртуті; при пожежі; землетрус; обмороження; небезпека на воді;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безпека руху; безпека пішохідних переходів; застарілі боєприпаси; тероризм;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небезпека у лісі; безпечна прогулянка у лісі; повінь; блискавка; ожеледиця;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життєзабезпечення населення в надзвичайних ситуаціях; засоби захисту органів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дихання і шкіри (засоби індивідуального захисту); евакуація населення; укриття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в захисних спорудах; медичний захист; дозиметричний і хімічний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контроль; оповіщення і інформування;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інші інформативні матеріали, які розкривають зміст заходів захисту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і територій відповідного регіону.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7. Спеціальна навчальна література, призначена для самостійної роботи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відвідувачів консультаційного пункту, повинна бути представлена: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навчальними посібниками з питань цивільного захисту;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виписками із нормативних актів з питань захисту населення, територій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безпеки життєдіяльності;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пам’ятками та рекомендаційними брошурами з питань охорони життя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здоров’я людини у надзвичайних, несприятливих побутових або нестандартних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ситуаціях;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підшивками спеціалізованих журналів і газет.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8. Технічні засоби навчання: телевізор, відеоапаратура, комп’ютер 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електронною базою спеціалізованих видань та доступом до мережі Інтернет,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прийомні пристрої дротового та ефірного віщання тощо.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9. Навчальне майно: засоби індивідуального захисту, які рекомендовані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для застосування на території чи об’єкті, що обслуговується пунктом, засоби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пожежогасіння, засоби надання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домедичної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 xml:space="preserve"> допомоги, медичні муляжі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багатофункціональні тренажери для навчання навичкам надання першої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допомоги, радіометри та дозиметри побутові.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lastRenderedPageBreak/>
        <w:t>Кількість зразків та типів навчального майна, технічних засобів навчання,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спеціальної навчальної літератури, навчально-наочних посібників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консультаційного пункту визначається місцевими умовами та фінансовими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можливостями експлуатаційної організації.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10. Обов’язки із розроблення та впровадження стенду інформаційно</w:t>
      </w:r>
      <w:r>
        <w:rPr>
          <w:rFonts w:eastAsia="Calibri"/>
          <w:sz w:val="28"/>
          <w:szCs w:val="28"/>
          <w:lang w:val="uk-UA" w:eastAsia="en-US"/>
        </w:rPr>
        <w:t>-</w:t>
      </w:r>
      <w:r w:rsidRPr="002165AC">
        <w:rPr>
          <w:rFonts w:eastAsia="Calibri"/>
          <w:sz w:val="28"/>
          <w:szCs w:val="28"/>
          <w:lang w:val="uk-UA" w:eastAsia="en-US"/>
        </w:rPr>
        <w:t>довідкового кутка та навчально-наочних посібників приміщення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консультаційного пункту (далі - навчально-наочні посібники) покладаються 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керівника експлуатаційної організації, сільської (селищної) ради.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11. Матеріальні та фінансові витрати, пов’язані з відділенням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утриманням приміщень консультаційного пункту, їх обладнанням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оснащенням необхідною навчальною матеріально-технічною базою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здійснюються за рахунок місцевого бюджету або інших джерел, незаборонених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чинним законодавством.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93DC7">
        <w:rPr>
          <w:rFonts w:eastAsia="Calibri"/>
          <w:b/>
          <w:sz w:val="28"/>
          <w:szCs w:val="28"/>
          <w:lang w:val="uk-UA" w:eastAsia="en-US"/>
        </w:rPr>
        <w:t>IV. Організація роботи консультаційних пунктів</w:t>
      </w:r>
    </w:p>
    <w:p w:rsidR="00B04282" w:rsidRPr="00793DC7" w:rsidRDefault="00B04282" w:rsidP="00B04282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1. Робота консультаційних пунктів організовується за річним планом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роботи пункту згідно із організаційно-розпорядчими документами з підготовки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керівника територіальної підсистеми єдиної державної системи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цивільного захисту.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2. У річному плані визначаються основні заходи консультаційної 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просвітницько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>-інформаційної роботи з пропаганди знань серед населення 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питань захисту та дій у надзвичайних ситуаціях, а також заходи щодо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удосконалення навчально-матеріальної бази пункту, підготовки працівників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консультаційного пункту у навчально-методичному центрі цивільного захисту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та безпеки життєдіяльності Миколаївської області.</w:t>
      </w:r>
    </w:p>
    <w:p w:rsidR="00B04282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План роботи консультаційного пункту розробляється та підписується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особою, яка безпосередньо відповідає за його роботу, погоджується керівником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структурного підрозділу (посадовою особою) з питань цивільного захисту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районної державної адміністрації (виконавчого органу міської, сільської,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селищної ради) і затверджується керівником експлуатаційної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організації, сільським (селищним) головою.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Консультаційна робота з питань цивільного захисту та безпеки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життєдіяльності працівниками пункту здійснюється згідно з графіком їх роботи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 місяць.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3. Навчання населення, не зайнятого у сфері виробництва та</w:t>
      </w:r>
    </w:p>
    <w:p w:rsidR="00B04282" w:rsidRPr="002165AC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обслуговування, здійснюється шляхом: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проведення консультацій з питань захисту та дій в умовах можливих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 ситуацій за рекомендаціями Організаційно-методичних вказівок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щодо навчання населення Миколаївської області з питань цивільного захисту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діям в умовах надзвичайних ситуацій техногенного і природного характеру;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проведення інформаційних та агітаційних заходів (бесід, лекцій, вечорів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питань і відповідей, показів діафільмів, відеофільмів тощо);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lastRenderedPageBreak/>
        <w:t>розповсюдження та читання пам’яток, листівок, посібників;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прослуховування радіопередач, перегляд та прослуховування спеціальних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відео- та </w:t>
      </w:r>
      <w:proofErr w:type="spellStart"/>
      <w:r w:rsidRPr="002165AC">
        <w:rPr>
          <w:rFonts w:eastAsia="Calibri"/>
          <w:sz w:val="28"/>
          <w:szCs w:val="28"/>
          <w:lang w:val="uk-UA" w:eastAsia="en-US"/>
        </w:rPr>
        <w:t>аудіоматеріалів</w:t>
      </w:r>
      <w:proofErr w:type="spellEnd"/>
      <w:r w:rsidRPr="002165AC">
        <w:rPr>
          <w:rFonts w:eastAsia="Calibri"/>
          <w:sz w:val="28"/>
          <w:szCs w:val="28"/>
          <w:lang w:val="uk-UA" w:eastAsia="en-US"/>
        </w:rPr>
        <w:t xml:space="preserve"> з тематики захисту населення;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забезпечення умов для самостійного вивчення населенням правил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поведінки та дій в умовах надзвичайних ситуацій за рекомендованою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працівниками пункту літературою та за їх консультаційною допомогою;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проведення представницьких заходів (днів професійних свят, оглядів</w:t>
      </w:r>
      <w:r>
        <w:rPr>
          <w:rFonts w:eastAsia="Calibri"/>
          <w:sz w:val="28"/>
          <w:szCs w:val="28"/>
          <w:lang w:val="uk-UA" w:eastAsia="en-US"/>
        </w:rPr>
        <w:t>-</w:t>
      </w:r>
      <w:r w:rsidRPr="002165AC">
        <w:rPr>
          <w:rFonts w:eastAsia="Calibri"/>
          <w:sz w:val="28"/>
          <w:szCs w:val="28"/>
          <w:lang w:val="uk-UA" w:eastAsia="en-US"/>
        </w:rPr>
        <w:t>конкурсів тощо);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участі у тренуваннях з цивільного захисту та захисту від надзвичайних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ситуацій.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4. Консультаційні пункти можуть використовуватися для доведення до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мешканців конкретних повідомлень, що стосуються їх участі у заходах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цивільного захисту за місцем проживання (дій за попереджувальним сигналом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«Увага всім!», під час проведення евакуаційних заходів, укриття у захисних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спорудах, видачі засобів індивідуального захисту тощо).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5. При проведенні консультацій на пункті обов’язково надається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інформація про потенційну небезпеку, що характерна для місць проживання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населення та методи реагування на неї. Особливу увагу необхідно звертати 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громадян, які проживають поряд з потенційно небезпечними об’єктами, а також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 xml:space="preserve">на дітей та соціально </w:t>
      </w:r>
      <w:r>
        <w:rPr>
          <w:rFonts w:eastAsia="Calibri"/>
          <w:sz w:val="28"/>
          <w:szCs w:val="28"/>
          <w:lang w:val="uk-UA" w:eastAsia="en-US"/>
        </w:rPr>
        <w:t>незахищ</w:t>
      </w:r>
      <w:r w:rsidRPr="002165AC">
        <w:rPr>
          <w:rFonts w:eastAsia="Calibri"/>
          <w:sz w:val="28"/>
          <w:szCs w:val="28"/>
          <w:lang w:val="uk-UA" w:eastAsia="en-US"/>
        </w:rPr>
        <w:t>ені верстви населення.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Керівники потенційно-небезпечних об’єктів надають через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консультаційний пункт постійну та оперативну інформацію населенню, яке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проживає в зонах можливого ураження, про стан їх захисту, методи й способи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забезпечення безпеки при аваріях.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6. Робота персоналу пункту організовується таким чином, щоб кожен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його відвідувач у будь-який час міг отримати вичерпну інформацію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(роз’яснення) щодо питань гарантованого забезпечення захисту та порядку його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дій в умовах надзвичайної ситуації.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 забезпечення цієї вимоги на консультаційному пункті постійно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повинен бути працівник (консультант), здатний конкретизувати положення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інформації стендів (довідкової літератури, нормативних документів),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а також список контактних телефонів консультантів - фахівців у відповідній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галузі знань з питань цивільної безпеки.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7. Просвітницька робота та пропаганда знань серед населення з питань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захисту та дій у надзвичайних ситуаціях спрямовується на підготовку громадян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до дій при виникненні надзвичайних ситуацій, зокрема: особливостей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поведінки у різні періоди року, поведінки на воді, на дотримання правил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пожежної безпеки, санітарно-гігієнічних норм, при виникненні епідемій,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епізоотій, отруєнь тощо.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8. Основна увага при навчанні населення звертається на морально</w:t>
      </w:r>
      <w:r>
        <w:rPr>
          <w:rFonts w:eastAsia="Calibri"/>
          <w:sz w:val="28"/>
          <w:szCs w:val="28"/>
          <w:lang w:val="uk-UA" w:eastAsia="en-US"/>
        </w:rPr>
        <w:t>-</w:t>
      </w:r>
      <w:r w:rsidRPr="002165AC">
        <w:rPr>
          <w:rFonts w:eastAsia="Calibri"/>
          <w:sz w:val="28"/>
          <w:szCs w:val="28"/>
          <w:lang w:val="uk-UA" w:eastAsia="en-US"/>
        </w:rPr>
        <w:t>психологічну підготовку, умілі дії у надзвичайних ситуаціях, характерних для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місць його проживання, на виховання у громадян почуття високої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lastRenderedPageBreak/>
        <w:t>відповідальності за свою підготовку, підготовку своєї родини до захисту 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надзвичайних ситуаціях.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9. Основними організаційно-розпорядчими документами, які повинні бути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на консультаційному пункті, є: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витяг з розпорядження голови районної державної адміністрації,</w:t>
      </w:r>
      <w:r>
        <w:rPr>
          <w:rFonts w:eastAsia="Calibri"/>
          <w:sz w:val="28"/>
          <w:szCs w:val="28"/>
          <w:lang w:val="uk-UA" w:eastAsia="en-US"/>
        </w:rPr>
        <w:t xml:space="preserve"> сільського, селищного</w:t>
      </w:r>
      <w:r w:rsidRPr="002165AC">
        <w:rPr>
          <w:rFonts w:eastAsia="Calibri"/>
          <w:sz w:val="28"/>
          <w:szCs w:val="28"/>
          <w:lang w:val="uk-UA" w:eastAsia="en-US"/>
        </w:rPr>
        <w:t xml:space="preserve"> голови, голови об’єднаної територіальної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громади про створення консультаційних пунктів;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наказ керівника про створення та організацію роботи консультаційного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пункту;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положення про консультаційний пункт;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план роботи консультаційного пункту на рік;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графік надання консультацій з питань цивільного захисту працівниками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консультаційного пункту;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журнал обліку консультацій;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функціональні обов’язки працівників консультаційного пункту;</w:t>
      </w: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</w:t>
      </w:r>
      <w:r w:rsidRPr="002165AC">
        <w:rPr>
          <w:rFonts w:eastAsia="Calibri"/>
          <w:sz w:val="28"/>
          <w:szCs w:val="28"/>
          <w:lang w:val="uk-UA" w:eastAsia="en-US"/>
        </w:rPr>
        <w:t>писок працівників консультаційного пункту.</w:t>
      </w:r>
    </w:p>
    <w:p w:rsidR="00B04282" w:rsidRDefault="00B04282" w:rsidP="00B0428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4282" w:rsidRPr="002165AC" w:rsidRDefault="00B04282" w:rsidP="00B0428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165AC">
        <w:rPr>
          <w:rFonts w:eastAsia="Calibri"/>
          <w:sz w:val="28"/>
          <w:szCs w:val="28"/>
          <w:lang w:val="uk-UA" w:eastAsia="en-US"/>
        </w:rPr>
        <w:t>10. Звітність про роботу консультаційних пунктів надається районним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державним адміністраціям, а також до органів місцевого самоврядування,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розпорядженнями яких ці пункти створено, за формою, змістом та у терміни,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які встановлені Табелем термінових та строкових донесень з питань цивільного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165AC">
        <w:rPr>
          <w:rFonts w:eastAsia="Calibri"/>
          <w:sz w:val="28"/>
          <w:szCs w:val="28"/>
          <w:lang w:val="uk-UA" w:eastAsia="en-US"/>
        </w:rPr>
        <w:t>захисту.</w:t>
      </w:r>
      <w:r w:rsidRPr="002165AC">
        <w:rPr>
          <w:rFonts w:eastAsia="Calibri"/>
          <w:sz w:val="28"/>
          <w:szCs w:val="28"/>
          <w:lang w:val="uk-UA" w:eastAsia="en-US"/>
        </w:rPr>
        <w:cr/>
      </w:r>
    </w:p>
    <w:p w:rsidR="00B04282" w:rsidRPr="00F20750" w:rsidRDefault="00B04282" w:rsidP="00B04282">
      <w:pPr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голови </w:t>
      </w:r>
    </w:p>
    <w:p w:rsidR="00B04282" w:rsidRDefault="00B04282" w:rsidP="00B04282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райдержадміністрації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Олег ЮРЧЕНКО</w:t>
      </w:r>
    </w:p>
    <w:p w:rsidR="00B04282" w:rsidRDefault="00B04282" w:rsidP="00B04282">
      <w:pPr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rPr>
          <w:rFonts w:eastAsia="Calibri"/>
          <w:sz w:val="28"/>
          <w:szCs w:val="28"/>
          <w:lang w:val="uk-UA" w:eastAsia="en-US"/>
        </w:rPr>
      </w:pPr>
    </w:p>
    <w:p w:rsidR="00B04282" w:rsidRDefault="00B04282" w:rsidP="00B04282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</w:r>
    </w:p>
    <w:p w:rsidR="00B04282" w:rsidRDefault="00B04282" w:rsidP="00B04282">
      <w:pPr>
        <w:rPr>
          <w:rFonts w:eastAsia="Calibri"/>
          <w:szCs w:val="28"/>
          <w:lang w:val="uk-UA" w:eastAsia="en-US"/>
        </w:rPr>
      </w:pPr>
    </w:p>
    <w:p w:rsidR="00B04282" w:rsidRDefault="00B04282" w:rsidP="00B04282">
      <w:pPr>
        <w:rPr>
          <w:rFonts w:eastAsia="Calibri"/>
          <w:szCs w:val="28"/>
          <w:lang w:val="uk-UA" w:eastAsia="en-US"/>
        </w:rPr>
      </w:pPr>
    </w:p>
    <w:p w:rsidR="00B04282" w:rsidRDefault="00B04282" w:rsidP="00B04282">
      <w:pPr>
        <w:rPr>
          <w:rFonts w:eastAsia="Calibri"/>
          <w:szCs w:val="28"/>
          <w:lang w:val="uk-UA" w:eastAsia="en-US"/>
        </w:rPr>
      </w:pPr>
    </w:p>
    <w:p w:rsidR="00B04282" w:rsidRPr="00977AE4" w:rsidRDefault="00B04282" w:rsidP="00B04282">
      <w:pPr>
        <w:rPr>
          <w:rFonts w:eastAsia="Calibri"/>
          <w:szCs w:val="28"/>
          <w:lang w:val="uk-UA" w:eastAsia="en-US"/>
        </w:rPr>
      </w:pPr>
      <w:r w:rsidRPr="00977AE4">
        <w:rPr>
          <w:rFonts w:eastAsia="Calibri"/>
          <w:szCs w:val="28"/>
          <w:lang w:val="uk-UA" w:eastAsia="en-US"/>
        </w:rPr>
        <w:t>_________</w:t>
      </w:r>
      <w:r>
        <w:rPr>
          <w:rFonts w:eastAsia="Calibri"/>
          <w:szCs w:val="28"/>
          <w:lang w:val="uk-UA" w:eastAsia="en-US"/>
        </w:rPr>
        <w:t xml:space="preserve">Дмитро </w:t>
      </w:r>
      <w:proofErr w:type="spellStart"/>
      <w:r>
        <w:rPr>
          <w:rFonts w:eastAsia="Calibri"/>
          <w:szCs w:val="28"/>
          <w:lang w:val="uk-UA" w:eastAsia="en-US"/>
        </w:rPr>
        <w:t>Пшедзял</w:t>
      </w:r>
      <w:proofErr w:type="spellEnd"/>
    </w:p>
    <w:p w:rsidR="00DA68C2" w:rsidRDefault="00DA68C2"/>
    <w:sectPr w:rsidR="00DA68C2" w:rsidSect="00977AE4">
      <w:headerReference w:type="even" r:id="rId10"/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1D" w:rsidRDefault="0077591D">
      <w:r>
        <w:separator/>
      </w:r>
    </w:p>
  </w:endnote>
  <w:endnote w:type="continuationSeparator" w:id="0">
    <w:p w:rsidR="0077591D" w:rsidRDefault="0077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1D" w:rsidRDefault="0077591D">
      <w:r>
        <w:separator/>
      </w:r>
    </w:p>
  </w:footnote>
  <w:footnote w:type="continuationSeparator" w:id="0">
    <w:p w:rsidR="0077591D" w:rsidRDefault="0077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B04282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775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B04282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3F5">
      <w:rPr>
        <w:rStyle w:val="a5"/>
        <w:noProof/>
      </w:rPr>
      <w:t>4</w:t>
    </w:r>
    <w:r>
      <w:rPr>
        <w:rStyle w:val="a5"/>
      </w:rPr>
      <w:fldChar w:fldCharType="end"/>
    </w:r>
  </w:p>
  <w:p w:rsidR="007A784C" w:rsidRDefault="00775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4"/>
    <w:rsid w:val="00104CC4"/>
    <w:rsid w:val="0077591D"/>
    <w:rsid w:val="00A513F5"/>
    <w:rsid w:val="00B04282"/>
    <w:rsid w:val="00D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2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B04282"/>
  </w:style>
  <w:style w:type="character" w:styleId="a6">
    <w:name w:val="Hyperlink"/>
    <w:rsid w:val="00B042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82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28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B04282"/>
  </w:style>
  <w:style w:type="character" w:styleId="a6">
    <w:name w:val="Hyperlink"/>
    <w:rsid w:val="00B042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2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82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ysk@mk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ns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4381</Words>
  <Characters>24978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Olia</cp:lastModifiedBy>
  <cp:revision>3</cp:revision>
  <dcterms:created xsi:type="dcterms:W3CDTF">2020-07-21T11:18:00Z</dcterms:created>
  <dcterms:modified xsi:type="dcterms:W3CDTF">2020-08-06T07:14:00Z</dcterms:modified>
</cp:coreProperties>
</file>