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rPr>
      </w:pPr>
      <w:r>
        <w:rPr>
          <w:rFonts w:cs="TimesNewRomanPSMT" w:ascii="TimesNewRomanPSMT" w:hAnsi="TimesNewRomanPSMT"/>
          <w:sz w:val="27"/>
          <w:szCs w:val="27"/>
        </w:rPr>
        <w:t>від  08.12.2025 року № 53</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cs="Times New Roman"/>
          <w:b/>
          <w:b/>
          <w:color w:val="0D0D0D"/>
          <w:sz w:val="27"/>
          <w:szCs w:val="27"/>
        </w:rPr>
      </w:pPr>
      <w:bookmarkStart w:id="0" w:name="gjdgxs"/>
      <w:bookmarkEnd w:id="0"/>
      <w:r>
        <w:rPr>
          <w:rFonts w:cs="Times New Roman" w:ascii="Times New Roman" w:hAnsi="Times New Roman"/>
          <w:b/>
          <w:color w:val="0D0D0D" w:themeColor="text1" w:themeTint="f2"/>
          <w:sz w:val="27"/>
          <w:szCs w:val="27"/>
        </w:rPr>
        <w:t>Встановлення статусу члена сім’ї загиблого (померлого) ветерана війни</w:t>
      </w:r>
    </w:p>
    <w:p>
      <w:pPr>
        <w:pStyle w:val="Normal"/>
        <w:jc w:val="center"/>
        <w:rPr>
          <w:rFonts w:ascii="Times New Roman" w:hAnsi="Times New Roman" w:cs="Times New Roman"/>
          <w:b/>
          <w:b/>
          <w:color w:val="0D0D0D"/>
          <w:sz w:val="27"/>
          <w:szCs w:val="27"/>
        </w:rPr>
      </w:pPr>
      <w:r>
        <w:rPr>
          <w:rFonts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200"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637"/>
        <w:gridCol w:w="2543"/>
        <w:gridCol w:w="7020"/>
      </w:tblGrid>
      <w:tr>
        <w:trPr>
          <w:trHeight w:val="622" w:hRule="atLeast"/>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
                <w:b/>
                <w:i/>
                <w:i/>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720"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 xml:space="preserve">ел. адреса: </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10"/>
                  <w:rFonts w:eastAsia="Calibri" w:cs="Times New Roman" w:ascii="Times New Roman" w:hAnsi="Times New Roman"/>
                  <w:kern w:val="0"/>
                  <w:sz w:val="27"/>
                  <w:szCs w:val="27"/>
                  <w:lang w:val="en-US" w:eastAsia="en-US" w:bidi="ar-SA"/>
                </w:rPr>
                <w:t>https</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pervomaysk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mk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gov</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/1497504906/1497503257/</w:t>
              </w:r>
            </w:hyperlink>
          </w:p>
        </w:tc>
      </w:tr>
      <w:tr>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1485"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 (далі – Закон)</w:t>
            </w:r>
          </w:p>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396"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spacing w:before="120" w:after="120"/>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120" w:after="12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120" w:after="12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w:t>
            </w:r>
          </w:p>
        </w:tc>
      </w:tr>
      <w:tr>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before="120" w:after="120"/>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543"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Звернення члена сім’ї загиблого (померлого) ветерана війни, зазначеного у статті 10</w:t>
            </w:r>
            <w:r>
              <w:rPr>
                <w:rFonts w:eastAsia="Times New Roman" w:cs="Times New Roman" w:ascii="Times New Roman" w:hAnsi="Times New Roman"/>
                <w:color w:val="0D0D0D" w:themeColor="text1" w:themeTint="f2"/>
                <w:sz w:val="27"/>
                <w:szCs w:val="27"/>
                <w:vertAlign w:val="superscript"/>
              </w:rPr>
              <w:t xml:space="preserve"> </w:t>
            </w:r>
            <w:r>
              <w:rPr>
                <w:rFonts w:eastAsia="Times New Roman" w:cs="Times New Roman" w:ascii="Times New Roman" w:hAnsi="Times New Roman"/>
                <w:color w:val="0D0D0D" w:themeColor="text1" w:themeTint="f2"/>
                <w:sz w:val="27"/>
                <w:szCs w:val="27"/>
              </w:rPr>
              <w:t>Закону, з числа:</w:t>
            </w:r>
          </w:p>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батьків;</w:t>
            </w:r>
          </w:p>
          <w:p>
            <w:pPr>
              <w:pStyle w:val="Normal"/>
              <w:widowControl w:val="false"/>
              <w:shd w:val="clear" w:color="auto" w:fill="FFFFFF"/>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одного з подружжя, який не одружився вдруге, незалежно від того, виплачується йому пенсія чи ні;</w:t>
            </w:r>
          </w:p>
          <w:p>
            <w:pPr>
              <w:pStyle w:val="Normal"/>
              <w:widowControl w:val="false"/>
              <w:shd w:val="clear" w:color="auto" w:fill="FFFFFF"/>
              <w:spacing w:before="57"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які не мають (і не мали) своїх сімей;</w:t>
            </w:r>
          </w:p>
          <w:p>
            <w:pPr>
              <w:pStyle w:val="Normal"/>
              <w:widowControl w:val="false"/>
              <w:shd w:val="clear" w:color="auto" w:fill="FFFFFF"/>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які мають свої сім’ї, але стали особами з інвалідністю до досягнення повноліття;</w:t>
            </w:r>
          </w:p>
          <w:p>
            <w:pPr>
              <w:pStyle w:val="Normal"/>
              <w:widowControl w:val="false"/>
              <w:shd w:val="clear" w:color="auto" w:fill="FFFFFF"/>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обоє з батьків яких загинули або пропали безвісти;</w:t>
            </w:r>
          </w:p>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утриманців загиблого (померлого), яким у зв’язку з цим виплачується пенсія.</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543"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12"/>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До управління соціального захисту населення</w:t>
            </w:r>
            <w:r>
              <w:rPr>
                <w:rFonts w:eastAsia="Times New Roman" w:cs="Times New Roman" w:ascii="Times New Roman" w:hAnsi="Times New Roman"/>
                <w:b/>
                <w:bCs/>
                <w:color w:val="0D0D0D" w:themeColor="text1" w:themeTint="f2"/>
                <w:sz w:val="27"/>
                <w:szCs w:val="27"/>
              </w:rPr>
              <w:t xml:space="preserve"> задекларованим/зареєстрованим місцем проживання (перебування) або за адресою фактичного місця проживання (для внутрішньо переміщених осіб) заявника </w:t>
            </w:r>
            <w:r>
              <w:rPr>
                <w:rFonts w:eastAsia="Times New Roman" w:cs="Times New Roman" w:ascii="Times New Roman" w:hAnsi="Times New Roman"/>
                <w:b/>
                <w:color w:val="0D0D0D" w:themeColor="text1" w:themeTint="f2"/>
                <w:sz w:val="27"/>
                <w:szCs w:val="27"/>
              </w:rPr>
              <w:t>члени сімей загиблих (померлих) ветеранів війни подають</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заяву довільної форми;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копію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документа, що засвідчує реєстрацію у Державному реєстрі фізичних осіб </w:t>
            </w:r>
            <w:r>
              <w:rPr>
                <w:rFonts w:eastAsia="Times New Roman" w:cs="Times New Roman" w:ascii="Times New Roman" w:hAnsi="Times New Roman"/>
                <w:bCs/>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eastAsia="Times New Roman" w:cs="Times New Roman" w:ascii="Times New Roman" w:hAnsi="Times New Roman"/>
                <w:bCs/>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платників податків, внесені до паспорта громадянина України;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копію свідоцтва про смерть члена сім’ї або повідомлення про його загибель;</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w:t>
            </w:r>
            <w:r>
              <w:rPr>
                <w:rFonts w:cs="Times New Roman" w:ascii="Times New Roman" w:hAnsi="Times New Roman"/>
                <w:color w:val="0D0D0D" w:themeColor="text1" w:themeTint="f2"/>
                <w:sz w:val="27"/>
                <w:szCs w:val="27"/>
                <w:shd w:fill="FFFFFF" w:val="clear"/>
              </w:rPr>
              <w:t>постанови (рішення) відповідної військово-лікарської (лікарсько-експертної, медичної) комісії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копію свідоцтва про шлюб – для дружини/ чоловіка;</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копію свідоцтва про народження загиблого (померлого) – для батьків;</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копію свідоцтва про народження дитини – для дітей загиблого (померлого);</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довідку про призначення пенсії у разі втрати</w:t>
              <w:br/>
              <w:t>годувальника – для осіб, які перебували на утриманні ветерана війни;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довідку медичного закладу про інвалідність до досягнення повноліття – для дітей, яким встановлено інвалідність до 18 років;</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копію посвідчення загиблого (померлого) ветерана війни (за наявності);</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w:t>
            </w:r>
            <w:r>
              <w:rPr>
                <w:rFonts w:cs="Times New Roman" w:ascii="Times New Roman" w:hAnsi="Times New Roman"/>
                <w:color w:val="0D0D0D" w:themeColor="text1" w:themeTint="f2"/>
                <w:sz w:val="27"/>
                <w:szCs w:val="27"/>
                <w:shd w:fill="FFFFFF" w:val="clear"/>
              </w:rPr>
              <w:t>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 xml:space="preserve"> – для дружин (чоловіків) осіб з інвалідністю внаслідок Другої світової війни, учасників війни і бойових дій, партизанів і підпільників, які не одружилися вдруге;</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 для дружин (чоловіків), які не одружилися вдруге;</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14)</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документи про участь померлого ветерана у Другій світовій війні та війні з Японією у складі діючої армії та нагородження померлого ветерана за бойові дії державними нагородами та орденами і медалями колишнього Союзу РСР (крім ювілейних) – для дружин (чоловіків), які не одружилися вдруге;</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15)</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документи про навчання за денною або дуальною формою здобуття освіти у закладах професійної (професійно-технічної), фахової передвищої та вищої освіти – для дітей померлих учасників бойових дій;</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16)</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копію посвідчення померлого учасника бойових дій – для дітей померлих учасників бойових дій;</w:t>
            </w:r>
          </w:p>
          <w:p>
            <w:pPr>
              <w:pStyle w:val="Normal"/>
              <w:keepNext w:val="true"/>
              <w:widowControl w:val="false"/>
              <w:spacing w:before="0" w:after="24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17)</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w:t>
            </w:r>
            <w:r>
              <w:rPr>
                <w:rFonts w:eastAsia="Times New Roman" w:cs="Times New Roman" w:ascii="Times New Roman" w:hAnsi="Times New Roman"/>
                <w:b/>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свідоцтва про народження) </w:t>
            </w:r>
            <w:r>
              <w:rPr>
                <w:rFonts w:eastAsia="Times New Roman" w:cs="Times New Roman" w:ascii="Times New Roman" w:hAnsi="Times New Roman"/>
                <w:bCs/>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у разі подання документів законним представником або уповноваженою особою.</w:t>
            </w:r>
          </w:p>
          <w:p>
            <w:pPr>
              <w:pStyle w:val="Normal"/>
              <w:keepNext w:val="true"/>
              <w:keepLines/>
              <w:widowControl w:val="false"/>
              <w:jc w:val="both"/>
              <w:rPr>
                <w:rFonts w:ascii="Times New Roman" w:hAnsi="Times New Roman" w:eastAsia="Times New Roman" w:cs="Times New Roman"/>
                <w:i/>
                <w:i/>
                <w:iCs/>
                <w:color w:val="0D0D0D"/>
                <w:sz w:val="27"/>
                <w:szCs w:val="27"/>
              </w:rPr>
            </w:pPr>
            <w:r>
              <w:rPr>
                <w:rFonts w:eastAsia="Times New Roman" w:cs="Times New Roman" w:ascii="Times New Roman" w:hAnsi="Times New Roman"/>
                <w:b/>
                <w:bCs/>
                <w:i/>
                <w:iCs/>
                <w:color w:val="0D0D0D" w:themeColor="text1" w:themeTint="f2"/>
                <w:sz w:val="27"/>
                <w:szCs w:val="27"/>
              </w:rPr>
              <w:t>Примітка:</w:t>
            </w:r>
          </w:p>
          <w:p>
            <w:pPr>
              <w:pStyle w:val="Normal"/>
              <w:keepNext w:val="true"/>
              <w:keepLines/>
              <w:widowControl w:val="false"/>
              <w:jc w:val="both"/>
              <w:rPr>
                <w:rFonts w:ascii="Times New Roman" w:hAnsi="Times New Roman" w:eastAsia="Times New Roman" w:cs="Times New Roman"/>
                <w:i/>
                <w:i/>
                <w:iCs/>
                <w:color w:val="0D0D0D"/>
                <w:sz w:val="27"/>
                <w:szCs w:val="27"/>
              </w:rPr>
            </w:pPr>
            <w:r>
              <w:rPr>
                <w:rFonts w:eastAsia="Times New Roman" w:cs="Times New Roman" w:ascii="Times New Roman" w:hAnsi="Times New Roman"/>
                <w:b/>
                <w:bCs/>
                <w:i/>
                <w:iCs/>
                <w:color w:val="0D0D0D" w:themeColor="text1" w:themeTint="f2"/>
                <w:sz w:val="27"/>
                <w:szCs w:val="27"/>
              </w:rPr>
              <w:t>копії документів, що додаються до заяви, звіряються з оригіналами</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pacing w:val="-4"/>
                <w:sz w:val="27"/>
                <w:szCs w:val="27"/>
              </w:rPr>
            </w:pPr>
            <w:r>
              <w:rPr>
                <w:rFonts w:eastAsia="Times New Roman" w:cs="Times New Roman" w:ascii="Times New Roman" w:hAnsi="Times New Roman"/>
                <w:color w:val="0D0D0D" w:themeColor="text1" w:themeTint="f2"/>
                <w:sz w:val="27"/>
                <w:szCs w:val="27"/>
              </w:rPr>
              <w:t>Б</w:t>
            </w:r>
            <w:r>
              <w:rPr>
                <w:rFonts w:eastAsia="Times New Roman" w:cs="Times New Roman" w:ascii="Times New Roman" w:hAnsi="Times New Roman"/>
                <w:color w:val="0D0D0D" w:themeColor="text1" w:themeTint="f2"/>
                <w:spacing w:val="-4"/>
                <w:sz w:val="27"/>
                <w:szCs w:val="27"/>
              </w:rPr>
              <w:t xml:space="preserve">езпосередньо управлінню соціального захисту населення особисто з пред’явленням документа, що посвідчує особу заявника, або через законного представника чи уповноважену особу, </w:t>
            </w:r>
            <w:r>
              <w:rPr>
                <w:rFonts w:eastAsia="Times New Roman" w:cs="Times New Roman" w:ascii="Times New Roman" w:hAnsi="Times New Roman"/>
                <w:color w:val="000000" w:themeTint="f2"/>
                <w:spacing w:val="-4"/>
                <w:sz w:val="27"/>
                <w:szCs w:val="27"/>
              </w:rPr>
              <w:t>або засобами поштового зв’язку</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rHeight w:val="258"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30 календарних днів</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Якщо заявник не належить до членів сімей загиблих (померлих) ветерана війни, зазначених у статті 10 Закону;</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r>
              <w:rPr>
                <w:rFonts w:eastAsia="Times New Roman" w:cs="Times New Roman" w:ascii="Times New Roman" w:hAnsi="Times New Roman"/>
                <w:color w:val="0D0D0D" w:themeColor="text1" w:themeTint="f2"/>
                <w:sz w:val="27"/>
                <w:szCs w:val="27"/>
                <w:shd w:fill="FFFFFF" w:val="clear"/>
              </w:rPr>
              <w:t xml:space="preserve"> </w:t>
            </w:r>
            <w:r>
              <w:rPr>
                <w:rFonts w:eastAsia="Times New Roman" w:cs="Times New Roman" w:ascii="Times New Roman" w:hAnsi="Times New Roman"/>
                <w:color w:val="0D0D0D" w:themeColor="text1" w:themeTint="f2"/>
                <w:sz w:val="27"/>
                <w:szCs w:val="27"/>
              </w:rPr>
              <w:t>Відсутність необхідних документів;</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 Подання неправдивих відомостей;</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 Виявлення підробок у поданих документах.</w:t>
            </w:r>
          </w:p>
        </w:tc>
      </w:tr>
      <w:tr>
        <w:trPr>
          <w:trHeight w:val="949"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Rvps2"/>
              <w:widowControl w:val="false"/>
              <w:shd w:val="clear" w:color="auto" w:fill="FFFFFF"/>
              <w:spacing w:beforeAutospacing="0" w:before="0" w:afterAutospacing="0" w:after="0"/>
              <w:jc w:val="both"/>
              <w:rPr>
                <w:color w:val="0D0D0D"/>
                <w:sz w:val="27"/>
                <w:szCs w:val="27"/>
              </w:rPr>
            </w:pPr>
            <w:r>
              <w:rPr>
                <w:color w:val="0D0D0D" w:themeColor="text1" w:themeTint="f2"/>
                <w:sz w:val="27"/>
                <w:szCs w:val="27"/>
              </w:rPr>
              <w:t>Повідомлення про рішення, прийняте за результатами розгляду заяви (про надання або відмову у наданні статусу члена сім’ї загиблого (померлого) ветерана війни)</w:t>
            </w:r>
          </w:p>
        </w:tc>
      </w:tr>
      <w:tr>
        <w:trPr>
          <w:trHeight w:val="536"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543"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702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bookmarkStart w:id="1" w:name="30j0zll"/>
      <w:bookmarkStart w:id="2" w:name="30j0zll"/>
      <w:bookmarkEnd w:id="2"/>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rPr>
          <w:rFonts w:ascii="Times New Roman" w:hAnsi="Times New Roman" w:eastAsia="Times New Roman" w:cs="Times New Roman"/>
          <w:bCs/>
          <w:color w:val="0D0D0D"/>
          <w:sz w:val="27"/>
          <w:szCs w:val="27"/>
        </w:rPr>
      </w:pPr>
      <w:r>
        <w:rPr/>
      </w:r>
    </w:p>
    <w:sectPr>
      <w:headerReference w:type="default" r:id="rId3"/>
      <w:type w:val="nextPage"/>
      <w:pgSz w:w="11906" w:h="16838"/>
      <w:pgMar w:left="1276" w:right="851" w:gutter="0" w:header="510" w:top="1134" w:footer="0" w:bottom="1276"/>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677" w:leader="none"/>
        <w:tab w:val="right" w:pos="9355" w:leader="none"/>
      </w:tabs>
      <w:rPr>
        <w:color w:val="000000"/>
        <w:sz w:val="28"/>
        <w:szCs w:val="28"/>
      </w:rPr>
    </w:pPr>
    <w:r>
      <w:rPr>
        <w:color w:val="000000"/>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ій колонтитул Знак"/>
    <w:basedOn w:val="DefaultParagraphFont"/>
    <w:uiPriority w:val="99"/>
    <w:qFormat/>
    <w:rsid w:val="009e09b9"/>
    <w:rPr/>
  </w:style>
  <w:style w:type="character" w:styleId="Style9" w:customStyle="1">
    <w:name w:val="Нижній колонтитул Знак"/>
    <w:basedOn w:val="DefaultParagraphFont"/>
    <w:uiPriority w:val="99"/>
    <w:qFormat/>
    <w:rsid w:val="009e09b9"/>
    <w:rPr/>
  </w:style>
  <w:style w:type="character" w:styleId="Rvts37" w:customStyle="1">
    <w:name w:val="rvts37"/>
    <w:basedOn w:val="DefaultParagraphFont"/>
    <w:qFormat/>
    <w:rsid w:val="00365f6e"/>
    <w:rPr/>
  </w:style>
  <w:style w:type="character" w:styleId="Style10">
    <w:name w:val="Hyperlink"/>
    <w:rPr>
      <w:color w:val="000080"/>
      <w:u w:val="single"/>
    </w:rPr>
  </w:style>
  <w:style w:type="paragraph" w:styleId="Style11">
    <w:name w:val="Заголовок"/>
    <w:basedOn w:val="Normal"/>
    <w:next w:val="Style12"/>
    <w:qFormat/>
    <w:pPr>
      <w:keepNext w:val="true"/>
      <w:spacing w:before="240" w:after="120"/>
    </w:pPr>
    <w:rPr>
      <w:rFonts w:ascii="Liberation Sans" w:hAnsi="Liberation Sans" w:eastAsia="Microsoft YaHei" w:cs="Mang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Mangal"/>
    </w:rPr>
  </w:style>
  <w:style w:type="paragraph" w:styleId="Style14">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Title"/>
    <w:basedOn w:val="Normal"/>
    <w:next w:val="Normal"/>
    <w:uiPriority w:val="10"/>
    <w:qFormat/>
    <w:pPr>
      <w:keepNext w:val="true"/>
      <w:keepLines/>
      <w:spacing w:before="480" w:after="120"/>
    </w:pPr>
    <w:rPr>
      <w:b/>
      <w:sz w:val="72"/>
      <w:szCs w:val="72"/>
    </w:rPr>
  </w:style>
  <w:style w:type="paragraph" w:styleId="Style17">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18">
    <w:name w:val="Колонтитул"/>
    <w:basedOn w:val="Normal"/>
    <w:qFormat/>
    <w:pPr/>
    <w:rPr/>
  </w:style>
  <w:style w:type="paragraph" w:styleId="Style19">
    <w:name w:val="Header"/>
    <w:basedOn w:val="Normal"/>
    <w:link w:val="Style8"/>
    <w:uiPriority w:val="99"/>
    <w:unhideWhenUsed/>
    <w:rsid w:val="009e09b9"/>
    <w:pPr>
      <w:tabs>
        <w:tab w:val="clear" w:pos="720"/>
        <w:tab w:val="center" w:pos="4819" w:leader="none"/>
        <w:tab w:val="right" w:pos="9639" w:leader="none"/>
      </w:tabs>
    </w:pPr>
    <w:rPr/>
  </w:style>
  <w:style w:type="paragraph" w:styleId="Style20">
    <w:name w:val="Footer"/>
    <w:basedOn w:val="Normal"/>
    <w:link w:val="Style9"/>
    <w:uiPriority w:val="99"/>
    <w:unhideWhenUsed/>
    <w:rsid w:val="009e09b9"/>
    <w:pPr>
      <w:tabs>
        <w:tab w:val="clear" w:pos="720"/>
        <w:tab w:val="center" w:pos="4819" w:leader="none"/>
        <w:tab w:val="right" w:pos="9639" w:leader="none"/>
      </w:tabs>
    </w:pPr>
    <w:rPr/>
  </w:style>
  <w:style w:type="paragraph" w:styleId="ListParagraph">
    <w:name w:val="List Paragraph"/>
    <w:basedOn w:val="Normal"/>
    <w:uiPriority w:val="34"/>
    <w:qFormat/>
    <w:rsid w:val="00581791"/>
    <w:pPr>
      <w:spacing w:before="0" w:after="0"/>
      <w:ind w:left="720" w:hanging="0"/>
      <w:contextualSpacing/>
    </w:pPr>
    <w:rPr/>
  </w:style>
  <w:style w:type="paragraph" w:styleId="Rvps2" w:customStyle="1">
    <w:name w:val="rvps2"/>
    <w:basedOn w:val="Normal"/>
    <w:qFormat/>
    <w:rsid w:val="00995054"/>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Application>LibreOffice/7.4.5.1$Windows_X86_64 LibreOffice_project/9c0871452b3918c1019dde9bfac75448afc4b57f</Application>
  <AppVersion>15.0000</AppVersion>
  <Pages>4</Pages>
  <Words>852</Words>
  <Characters>5817</Characters>
  <CharactersWithSpaces>6613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2025-09-19T08:46:00Z</dcterms:created>
  <dc:creator>Павленко Інна Анатоліївна</dc:creator>
  <dc:description/>
  <dc:language>ru-RU</dc:language>
  <cp:lastModifiedBy/>
  <dcterms:modified xsi:type="dcterms:W3CDTF">2025-12-17T13:42:13Z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