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rPr>
      </w:pPr>
      <w:r>
        <w:rPr>
          <w:rFonts w:cs="TimesNewRomanPSMT" w:ascii="TimesNewRomanPSMT" w:hAnsi="TimesNewRomanPSMT"/>
          <w:sz w:val="27"/>
          <w:szCs w:val="27"/>
        </w:rPr>
        <w:t>від  08.12.2025 року № 53</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eastAsia="Times New Roman" w:cs="Times New Roman"/>
          <w:b/>
          <w:b/>
          <w:color w:val="0D0D0D"/>
          <w:sz w:val="27"/>
          <w:szCs w:val="27"/>
        </w:rPr>
      </w:pPr>
      <w:bookmarkStart w:id="0" w:name="gjdgxs"/>
      <w:bookmarkEnd w:id="0"/>
      <w:r>
        <w:rPr>
          <w:rFonts w:eastAsia="Times New Roman" w:cs="Times New Roman" w:ascii="Times New Roman" w:hAnsi="Times New Roman"/>
          <w:b/>
          <w:color w:val="0D0D0D" w:themeColor="text1" w:themeTint="f2"/>
          <w:sz w:val="27"/>
          <w:szCs w:val="27"/>
        </w:rPr>
        <w:t>Встановлення статусу члена сім’ї загиблого (померлого) Захисника чи Захисниці України</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260"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641"/>
        <w:gridCol w:w="2719"/>
        <w:gridCol w:w="6900"/>
      </w:tblGrid>
      <w:tr>
        <w:trPr/>
        <w:tc>
          <w:tcPr>
            <w:tcW w:w="102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bookmarkStart w:id="1" w:name="30j0zll"/>
            <w:bookmarkEnd w:id="1"/>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
                <w:b/>
                <w:i/>
                <w:i/>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720"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ел. адреса:</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10"/>
                  <w:rFonts w:eastAsia="Calibri" w:cs="Times New Roman" w:ascii="Times New Roman" w:hAnsi="Times New Roman"/>
                  <w:kern w:val="0"/>
                  <w:sz w:val="27"/>
                  <w:szCs w:val="27"/>
                  <w:lang w:val="en-US" w:eastAsia="en-US" w:bidi="ar-SA"/>
                </w:rPr>
                <w:t>https</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pervomaysk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mk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gov</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/1497504906/1497503257/</w:t>
              </w:r>
            </w:hyperlink>
          </w:p>
        </w:tc>
      </w:tr>
      <w:tr>
        <w:trPr/>
        <w:tc>
          <w:tcPr>
            <w:tcW w:w="102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523"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57"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 (далі – Закон)</w:t>
            </w:r>
          </w:p>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884"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Постанова Кабінету Міністрів України від 23.09.2015 №</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740 “Про затвердження Порядку надання статусу члена сім’ї загиблого (померлого) Захисника чи Захисниці України” (далі – Порядок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740)</w:t>
            </w:r>
          </w:p>
        </w:tc>
      </w:tr>
      <w:tr>
        <w:trPr/>
        <w:tc>
          <w:tcPr>
            <w:tcW w:w="102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719"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Звернення члена сім’ї загиблого (померлого) Захисника чи Захисниці України, зазначеного у статті 10</w:t>
            </w:r>
            <w:r>
              <w:rPr>
                <w:rFonts w:eastAsia="Times New Roman" w:cs="Times New Roman" w:ascii="Times New Roman" w:hAnsi="Times New Roman"/>
                <w:color w:val="0D0D0D" w:themeColor="text1" w:themeTint="f2"/>
                <w:sz w:val="27"/>
                <w:szCs w:val="27"/>
                <w:vertAlign w:val="superscript"/>
              </w:rPr>
              <w:t xml:space="preserve">1 </w:t>
            </w:r>
            <w:r>
              <w:rPr>
                <w:rFonts w:eastAsia="Times New Roman" w:cs="Times New Roman" w:ascii="Times New Roman" w:hAnsi="Times New Roman"/>
                <w:color w:val="0D0D0D" w:themeColor="text1" w:themeTint="f2"/>
                <w:sz w:val="27"/>
                <w:szCs w:val="27"/>
              </w:rPr>
              <w:t>Закону, з числа:</w:t>
            </w:r>
          </w:p>
          <w:p>
            <w:pPr>
              <w:pStyle w:val="Normal"/>
              <w:widowControl w:val="false"/>
              <w:shd w:val="clear" w:color="auto" w:fill="FFFFFF"/>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батьків;</w:t>
            </w:r>
          </w:p>
          <w:p>
            <w:pPr>
              <w:pStyle w:val="Normal"/>
              <w:widowControl w:val="false"/>
              <w:shd w:val="clear" w:color="auto" w:fill="FFFFFF"/>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одного з подружжя, який не одружився вдруге, незалежно від того, виплачується йому пенсія чи ні;</w:t>
            </w:r>
          </w:p>
          <w:p>
            <w:pPr>
              <w:pStyle w:val="Normal"/>
              <w:widowControl w:val="false"/>
              <w:shd w:val="clear" w:color="auto" w:fill="FFFFFF"/>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які не мають (і не мали) своїх сімей;</w:t>
            </w:r>
          </w:p>
          <w:p>
            <w:pPr>
              <w:pStyle w:val="Normal"/>
              <w:widowControl w:val="false"/>
              <w:shd w:val="clear" w:color="auto" w:fill="FFFFFF"/>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які мають свої сім’ї, але стали особами з інвалідністю до досягнення повноліття;</w:t>
            </w:r>
          </w:p>
          <w:p>
            <w:pPr>
              <w:pStyle w:val="Normal"/>
              <w:widowControl w:val="false"/>
              <w:shd w:val="clear" w:color="auto" w:fill="FFFFFF"/>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обоє з батьків яких загинули або пропали безвісти;</w:t>
            </w:r>
          </w:p>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утриманців загиблого (померлого), яким у зв’язку з цим виплачується пенсія.</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719"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69"/>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До управління соціального захисту населення</w:t>
            </w:r>
            <w:r>
              <w:rPr>
                <w:rFonts w:eastAsia="Times New Roman" w:cs="Times New Roman" w:ascii="Times New Roman" w:hAnsi="Times New Roman"/>
                <w:b/>
                <w:bCs/>
                <w:color w:val="0D0D0D" w:themeColor="text1" w:themeTint="f2"/>
                <w:sz w:val="27"/>
                <w:szCs w:val="27"/>
              </w:rPr>
              <w:t xml:space="preserve"> за задекларованим/зареєстрованим місцем проживання (перебування) або за адресою фактичного місця проживання (для внутрішньо переміщених осіб) заявника </w:t>
            </w:r>
            <w:r>
              <w:rPr>
                <w:rFonts w:eastAsia="Times New Roman" w:cs="Times New Roman" w:ascii="Times New Roman" w:hAnsi="Times New Roman"/>
                <w:b/>
                <w:color w:val="0D0D0D" w:themeColor="text1" w:themeTint="f2"/>
                <w:sz w:val="27"/>
                <w:szCs w:val="27"/>
              </w:rPr>
              <w:t>члени сімей загиблих (померлих) Захисників чи Захисниць України подають:</w:t>
            </w:r>
          </w:p>
          <w:p>
            <w:pPr>
              <w:pStyle w:val="Normal"/>
              <w:keepNext w:val="true"/>
              <w:widowControl w:val="false"/>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1. Заяву: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встановленого зразка згідно з додатком 2 до Порядку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740;</w:t>
            </w:r>
          </w:p>
          <w:p>
            <w:pPr>
              <w:pStyle w:val="Normal"/>
              <w:keepLines/>
              <w:widowControl w:val="false"/>
              <w:spacing w:before="0" w:after="69"/>
              <w:ind w:firstLine="567"/>
              <w:jc w:val="both"/>
              <w:rPr>
                <w:rFonts w:ascii="Times New Roman" w:hAnsi="Times New Roman" w:eastAsia="Times New Roman" w:cs="Times New Roman"/>
                <w:i/>
                <w:i/>
                <w:color w:val="0D0D0D"/>
                <w:sz w:val="27"/>
                <w:szCs w:val="27"/>
                <w:shd w:fill="FFE599" w:val="clear"/>
              </w:rPr>
            </w:pPr>
            <w:r>
              <w:rPr>
                <w:rFonts w:eastAsia="Times New Roman" w:cs="Times New Roman" w:ascii="Times New Roman" w:hAnsi="Times New Roman"/>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color w:val="0D0D0D" w:themeColor="text1" w:themeTint="f2"/>
                <w:sz w:val="27"/>
                <w:szCs w:val="27"/>
              </w:rPr>
              <w:t>**в електронній формі</w:t>
            </w:r>
            <w:r>
              <w:rPr>
                <w:rFonts w:eastAsia="Times New Roman" w:cs="Times New Roman" w:ascii="Times New Roman" w:hAnsi="Times New Roman"/>
                <w:color w:val="0D0D0D" w:themeColor="text1" w:themeTint="f2"/>
                <w:sz w:val="27"/>
                <w:szCs w:val="27"/>
              </w:rPr>
              <w:t xml:space="preserve"> (для членів сімей осіб, зазначених у </w:t>
            </w:r>
            <w:r>
              <w:fldChar w:fldCharType="begin"/>
            </w:r>
            <w:r>
              <w:rPr>
                <w:sz w:val="27"/>
                <w:szCs w:val="27"/>
                <w:rFonts w:eastAsia="Times New Roman" w:cs="Times New Roman" w:ascii="Times New Roman" w:hAnsi="Times New Roman"/>
                <w:color w:val="0D0D0D"/>
              </w:rPr>
              <w:instrText xml:space="preserve"> HYPERLINK "https://zakon.rada.gov.ua/laws/show/3551-12" \l "n662"</w:instrText>
            </w:r>
            <w:r>
              <w:rPr>
                <w:sz w:val="27"/>
                <w:szCs w:val="27"/>
                <w:rFonts w:eastAsia="Times New Roman" w:cs="Times New Roman" w:ascii="Times New Roman" w:hAnsi="Times New Roman"/>
                <w:color w:val="0D0D0D"/>
              </w:rPr>
              <w:fldChar w:fldCharType="separate"/>
            </w:r>
            <w:r>
              <w:rPr>
                <w:rFonts w:eastAsia="Times New Roman" w:cs="Times New Roman" w:ascii="Times New Roman" w:hAnsi="Times New Roman"/>
                <w:color w:val="0D0D0D" w:themeColor="text1" w:themeTint="f2"/>
                <w:sz w:val="27"/>
                <w:szCs w:val="27"/>
              </w:rPr>
              <w:t>пункті 5</w:t>
            </w:r>
            <w:r>
              <w:rPr>
                <w:sz w:val="27"/>
                <w:szCs w:val="27"/>
                <w:rFonts w:eastAsia="Times New Roman" w:cs="Times New Roman" w:ascii="Times New Roman" w:hAnsi="Times New Roman"/>
                <w:color w:val="0D0D0D"/>
              </w:rPr>
              <w:fldChar w:fldCharType="end"/>
            </w:r>
            <w:r>
              <w:rPr>
                <w:rFonts w:eastAsia="Times New Roman" w:cs="Times New Roman" w:ascii="Times New Roman" w:hAnsi="Times New Roman"/>
                <w:color w:val="0D0D0D" w:themeColor="text1" w:themeTint="f2"/>
                <w:sz w:val="27"/>
                <w:szCs w:val="27"/>
              </w:rPr>
              <w:t xml:space="preserve"> частини першої статті 10</w:t>
            </w:r>
            <w:r>
              <w:rPr>
                <w:rFonts w:eastAsia="Times New Roman" w:cs="Times New Roman" w:ascii="Times New Roman" w:hAnsi="Times New Roman"/>
                <w:bCs/>
                <w:color w:val="0D0D0D" w:themeColor="text1" w:themeTint="f2"/>
                <w:sz w:val="27"/>
                <w:szCs w:val="27"/>
                <w:vertAlign w:val="superscript"/>
              </w:rPr>
              <w:t>1</w:t>
            </w:r>
            <w:r>
              <w:rPr>
                <w:rFonts w:eastAsia="Times New Roman" w:cs="Times New Roman" w:ascii="Times New Roman" w:hAnsi="Times New Roman"/>
                <w:color w:val="0D0D0D" w:themeColor="text1" w:themeTint="f2"/>
                <w:sz w:val="27"/>
                <w:szCs w:val="27"/>
              </w:rPr>
              <w:t xml:space="preserve"> Закону)</w:t>
            </w:r>
            <w:r>
              <w:rPr>
                <w:rFonts w:eastAsia="Times New Roman" w:cs="Times New Roman" w:ascii="Times New Roman" w:hAnsi="Times New Roman"/>
                <w:i/>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color w:val="0D0D0D" w:themeColor="text1" w:themeTint="f2"/>
                <w:sz w:val="27"/>
                <w:szCs w:val="27"/>
              </w:rPr>
              <w:t>До заяви у паперовій формі за наявності (у разі відсутності витребовуються управлінням соціального захисту населення</w:t>
            </w:r>
            <w:r>
              <w:rPr>
                <w:rFonts w:eastAsia="Times New Roman" w:cs="Times New Roman" w:ascii="Times New Roman" w:hAnsi="Times New Roman"/>
                <w:b/>
                <w:color w:val="000000" w:themeTint="f2"/>
                <w:sz w:val="27"/>
                <w:szCs w:val="27"/>
              </w:rPr>
              <w:t>)</w:t>
            </w:r>
            <w:r>
              <w:rPr>
                <w:rFonts w:eastAsia="Times New Roman" w:cs="Times New Roman" w:ascii="Times New Roman" w:hAnsi="Times New Roman"/>
                <w:b/>
                <w:color w:val="0D0D0D" w:themeColor="text1" w:themeTint="f2"/>
                <w:sz w:val="27"/>
                <w:szCs w:val="27"/>
              </w:rPr>
              <w:t>* додаються копії (скановані копії):</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(далі </w:t>
            </w:r>
            <w:r>
              <w:rPr>
                <w:rFonts w:eastAsia="Times New Roman" w:cs="Times New Roman" w:ascii="Times New Roman" w:hAnsi="Times New Roman"/>
                <w:bCs/>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Портал Дія) не пізніше ніж за п’ять календарних днів до заповнення заяви;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про взяття на облік внутрішньо переміщеної особи (для внутрішньо переміщених осіб);</w:t>
            </w:r>
          </w:p>
          <w:p>
            <w:pPr>
              <w:pStyle w:val="Normal"/>
              <w:keepNext w:val="true"/>
              <w:widowControl w:val="false"/>
              <w:spacing w:lineRule="auto" w:line="24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шлюб – для дружини /чоловіка;</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народження загиблого (померлого) – для батьків;</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народження дитини – для дітей загиблого (померлого);</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про призначення пенсії у разі втрати годувальника – для осіб, які перебували на утриманні ветерана війни;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медичного закладу про інвалідність до досягнення повноліття – для дітей, яким встановлено інвалідність до 18 років;</w:t>
            </w:r>
          </w:p>
          <w:p>
            <w:pPr>
              <w:pStyle w:val="Normal"/>
              <w:keepNext w:val="true"/>
              <w:widowControl w:val="false"/>
              <w:spacing w:before="0" w:after="0"/>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color w:val="0D0D0D" w:themeColor="text1" w:themeTint="f2"/>
                <w:sz w:val="27"/>
                <w:szCs w:val="27"/>
              </w:rPr>
              <w:t>- 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"n659"</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 2</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договору про провадження волонтерської діяльності (за наявності) або договору про надання волонтерської допомоги (за наявності);</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12"/>
              <w:ind w:firstLine="567"/>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 xml:space="preserve">- 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r>
              <w:rPr>
                <w:rFonts w:eastAsia="Times New Roman" w:cs="Times New Roman" w:ascii="Times New Roman" w:hAnsi="Times New Roman"/>
                <w:i/>
                <w:color w:val="0D0D0D" w:themeColor="text1" w:themeTint="f2"/>
                <w:sz w:val="27"/>
                <w:szCs w:val="27"/>
              </w:rPr>
              <w:t>(за відсутності документів зазначених в абзацах третьому</w:t>
            </w:r>
            <w:r>
              <w:rPr>
                <w:rFonts w:eastAsia="Times New Roman" w:cs="Times New Roman" w:ascii="Times New Roman" w:hAnsi="Times New Roman"/>
                <w:color w:val="0D0D0D" w:themeColor="text1" w:themeTint="f2"/>
                <w:sz w:val="27"/>
                <w:szCs w:val="27"/>
              </w:rPr>
              <w:t xml:space="preserve"> – </w:t>
            </w:r>
            <w:r>
              <w:rPr>
                <w:rFonts w:eastAsia="Times New Roman" w:cs="Times New Roman" w:ascii="Times New Roman" w:hAnsi="Times New Roman"/>
                <w:i/>
                <w:color w:val="0D0D0D" w:themeColor="text1" w:themeTint="f2"/>
                <w:sz w:val="27"/>
                <w:szCs w:val="27"/>
              </w:rPr>
              <w:t>п’ятому цього підпункту);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 для сімей осіб, які,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"n660"</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 3</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pPr>
              <w:pStyle w:val="Normal"/>
              <w:keepNext w:val="true"/>
              <w:widowControl w:val="false"/>
              <w:spacing w:before="0" w:after="0"/>
              <w:ind w:firstLine="567"/>
              <w:jc w:val="both"/>
              <w:rPr>
                <w:rFonts w:ascii="Times New Roman" w:hAnsi="Times New Roman" w:eastAsia="Times New Roman" w:cs="Times New Roman"/>
                <w:b/>
                <w:b/>
                <w:color w:val="0D0D0D"/>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b/>
                <w:b/>
                <w:i/>
                <w:i/>
                <w:color w:val="0D0D0D"/>
                <w:sz w:val="27"/>
                <w:szCs w:val="27"/>
              </w:rPr>
            </w:pPr>
            <w:r>
              <w:rPr>
                <w:rFonts w:eastAsia="Times New Roman" w:cs="Times New Roman" w:ascii="Times New Roman" w:hAnsi="Times New Roman"/>
                <w:color w:val="0D0D0D" w:themeColor="text1" w:themeTint="f2"/>
                <w:sz w:val="27"/>
                <w:szCs w:val="27"/>
              </w:rPr>
              <w:t xml:space="preserve">3) для сімей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"n661"</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 4</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pPr>
              <w:pStyle w:val="Normal"/>
              <w:keepNext w:val="true"/>
              <w:widowControl w:val="false"/>
              <w:spacing w:before="0" w:after="0"/>
              <w:ind w:firstLine="567"/>
              <w:jc w:val="both"/>
              <w:rPr>
                <w:rFonts w:ascii="Times New Roman" w:hAnsi="Times New Roman" w:eastAsia="Times New Roman" w:cs="Times New Roman"/>
                <w:b/>
                <w:b/>
                <w:color w:val="0D0D0D"/>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0"/>
              <w:ind w:firstLine="567"/>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 xml:space="preserve">4) </w:t>
            </w:r>
            <w:r>
              <w:rPr>
                <w:rFonts w:eastAsia="Times New Roman" w:cs="Times New Roman" w:ascii="Times New Roman" w:hAnsi="Times New Roman"/>
                <w:b/>
                <w:bCs/>
                <w:i/>
                <w:color w:val="0D0D0D" w:themeColor="text1" w:themeTint="f2"/>
                <w:sz w:val="27"/>
                <w:szCs w:val="27"/>
              </w:rPr>
              <w:t>**</w:t>
            </w:r>
            <w:r>
              <w:rPr>
                <w:rFonts w:eastAsia="Times New Roman" w:cs="Times New Roman" w:ascii="Times New Roman" w:hAnsi="Times New Roman"/>
                <w:b/>
                <w:bCs/>
                <w:color w:val="0D0D0D" w:themeColor="text1" w:themeTint="f2"/>
                <w:sz w:val="27"/>
                <w:szCs w:val="27"/>
              </w:rPr>
              <w:t>для сімей військовослужбовців</w:t>
            </w:r>
            <w:r>
              <w:rPr>
                <w:rFonts w:eastAsia="Times New Roman" w:cs="Times New Roman" w:ascii="Times New Roman" w:hAnsi="Times New Roman"/>
                <w:color w:val="0D0D0D" w:themeColor="text1" w:themeTint="f2"/>
                <w:sz w:val="27"/>
                <w:szCs w:val="27"/>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"n662"</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 5</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740, </w:t>
            </w:r>
            <w:r>
              <w:rPr>
                <w:rFonts w:cs="Times New Roman" w:ascii="Times New Roman" w:hAnsi="Times New Roman"/>
                <w:color w:val="0D0D0D" w:themeColor="text1" w:themeTint="f2"/>
                <w:sz w:val="27"/>
                <w:szCs w:val="27"/>
                <w:shd w:fill="FFFFFF" w:val="clear"/>
              </w:rPr>
              <w:t>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eastAsia="Times New Roman" w:cs="Times New Roman" w:ascii="Times New Roman" w:hAnsi="Times New Roman"/>
                <w:color w:val="0D0D0D" w:themeColor="text1" w:themeTint="f2"/>
                <w:sz w:val="27"/>
                <w:szCs w:val="27"/>
              </w:rPr>
              <w:t xml:space="preserve"> – </w:t>
            </w:r>
            <w:r>
              <w:rPr>
                <w:rFonts w:cs="Times New Roman" w:ascii="Times New Roman" w:hAnsi="Times New Roman"/>
                <w:color w:val="0D0D0D" w:themeColor="text1" w:themeTint="f2"/>
                <w:sz w:val="27"/>
                <w:szCs w:val="27"/>
                <w:shd w:fill="FFFFFF" w:val="clear"/>
              </w:rPr>
              <w:t>у разі, коли військову частину (орган, підрозділ) розформовано*</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постанови (рішення) відповідної військово-лікарської (лікарсько-експертної, медичної) комісії (крім випадків, коли особа пропала безвісти)*.</w:t>
            </w:r>
          </w:p>
          <w:p>
            <w:pPr>
              <w:pStyle w:val="Normal"/>
              <w:keepNext w:val="true"/>
              <w:widowControl w:val="false"/>
              <w:spacing w:before="57" w:after="57"/>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w:t>
            </w:r>
            <w:r>
              <w:rPr>
                <w:rFonts w:eastAsia="Times New Roman" w:cs="Times New Roman" w:ascii="Times New Roman" w:hAnsi="Times New Roman"/>
                <w:b/>
                <w:color w:val="0D0D0D" w:themeColor="text1" w:themeTint="f2"/>
                <w:sz w:val="27"/>
                <w:szCs w:val="27"/>
              </w:rPr>
              <w:t>для членів сімей осіб, які входили до складу добровольчого формування територіальної громади</w:t>
            </w: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"n662"</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 5</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контракту добровольця територіальної оборони*;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довідка за формою згідно з додатком 1 до Порядку № 740*;</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57" w:after="57"/>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 **</w:t>
            </w:r>
            <w:r>
              <w:rPr>
                <w:rFonts w:eastAsia="Times New Roman" w:cs="Times New Roman" w:ascii="Times New Roman" w:hAnsi="Times New Roman"/>
                <w:b/>
                <w:color w:val="0D0D0D" w:themeColor="text1" w:themeTint="f2"/>
                <w:sz w:val="27"/>
                <w:szCs w:val="27"/>
              </w:rPr>
              <w:t>для членів сімей працівників підприємств, установ, організацій</w:t>
            </w: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"n662"</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 5</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w:t>
            </w:r>
          </w:p>
          <w:p>
            <w:pPr>
              <w:pStyle w:val="Normal"/>
              <w:keepNext w:val="true"/>
              <w:widowControl w:val="false"/>
              <w:spacing w:before="0" w:after="69"/>
              <w:ind w:firstLine="567"/>
              <w:jc w:val="both"/>
              <w:rPr>
                <w:rFonts w:ascii="Times New Roman" w:hAnsi="Times New Roman" w:eastAsia="Times New Roman" w:cs="Times New Roman"/>
                <w:i/>
                <w:i/>
                <w:color w:val="0D0D0D"/>
                <w:spacing w:val="-2"/>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pacing w:val="-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 для сімей осіб, які загинули, померли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"n721"</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пункті 6</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w:t>
            </w:r>
          </w:p>
          <w:p>
            <w:pPr>
              <w:pStyle w:val="Normal"/>
              <w:keepNext w:val="true"/>
              <w:widowControl w:val="false"/>
              <w:ind w:firstLine="567"/>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xml:space="preserve">-  довідки за формою згідно з </w:t>
            </w:r>
            <w:r>
              <w:rPr>
                <w:rFonts w:eastAsia="Times New Roman" w:cs="Times New Roman" w:ascii="Times New Roman" w:hAnsi="Times New Roman"/>
                <w:color w:val="0D0D0D" w:themeColor="text1" w:themeTint="f2"/>
                <w:sz w:val="27"/>
                <w:szCs w:val="27"/>
              </w:rPr>
              <w:t>додатком 1 до Порядку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740</w:t>
            </w:r>
            <w:r>
              <w:rPr>
                <w:rFonts w:cs="Times New Roman" w:ascii="Times New Roman" w:hAnsi="Times New Roman"/>
                <w:color w:val="0D0D0D" w:themeColor="text1" w:themeTint="f2"/>
                <w:sz w:val="27"/>
                <w:szCs w:val="27"/>
                <w:shd w:fill="FFFFFF" w:val="clear"/>
              </w:rPr>
              <w:t>,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бойових діях при проведенні зазначених заходів,</w:t>
            </w: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pacing w:val="-4"/>
                <w:sz w:val="27"/>
                <w:szCs w:val="27"/>
              </w:rPr>
              <w:t xml:space="preserve">– </w:t>
            </w:r>
            <w:r>
              <w:rPr>
                <w:rFonts w:cs="Times New Roman" w:ascii="Times New Roman" w:hAnsi="Times New Roman"/>
                <w:color w:val="0D0D0D" w:themeColor="text1" w:themeTint="f2"/>
                <w:sz w:val="27"/>
                <w:szCs w:val="27"/>
                <w:shd w:fill="FFFFFF" w:val="clear"/>
              </w:rPr>
              <w:t>у разі коли військову частину (орган, підрозділ) розформовано;</w:t>
            </w:r>
          </w:p>
          <w:p>
            <w:pPr>
              <w:pStyle w:val="Normal"/>
              <w:keepNext w:val="true"/>
              <w:widowControl w:val="false"/>
              <w:spacing w:before="0" w:after="240"/>
              <w:ind w:firstLine="567"/>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w:t>
            </w:r>
          </w:p>
          <w:p>
            <w:pPr>
              <w:pStyle w:val="Normal"/>
              <w:keepNext w:val="true"/>
              <w:keepLines/>
              <w:widowControl w:val="false"/>
              <w:jc w:val="both"/>
              <w:rPr>
                <w:rFonts w:ascii="Times New Roman" w:hAnsi="Times New Roman" w:eastAsia="Times New Roman" w:cs="Times New Roman"/>
                <w:i/>
                <w:i/>
                <w:iCs/>
                <w:color w:val="0D0D0D"/>
                <w:sz w:val="27"/>
                <w:szCs w:val="27"/>
              </w:rPr>
            </w:pPr>
            <w:r>
              <w:rPr>
                <w:rFonts w:eastAsia="Times New Roman" w:cs="Times New Roman" w:ascii="Times New Roman" w:hAnsi="Times New Roman"/>
                <w:b/>
                <w:bCs/>
                <w:i/>
                <w:iCs/>
                <w:color w:val="0D0D0D" w:themeColor="text1" w:themeTint="f2"/>
                <w:sz w:val="27"/>
                <w:szCs w:val="27"/>
              </w:rPr>
              <w:t>Примітка:</w:t>
            </w:r>
          </w:p>
          <w:p>
            <w:pPr>
              <w:pStyle w:val="Normal"/>
              <w:keepNext w:val="true"/>
              <w:keepLines/>
              <w:widowControl w:val="false"/>
              <w:jc w:val="both"/>
              <w:rPr>
                <w:rFonts w:ascii="Times New Roman" w:hAnsi="Times New Roman" w:eastAsia="Times New Roman" w:cs="Times New Roman"/>
                <w:i/>
                <w:i/>
                <w:iCs/>
                <w:color w:val="0D0D0D"/>
                <w:sz w:val="27"/>
                <w:szCs w:val="27"/>
              </w:rPr>
            </w:pPr>
            <w:r>
              <w:rPr>
                <w:rFonts w:eastAsia="Times New Roman" w:cs="Times New Roman" w:ascii="Times New Roman" w:hAnsi="Times New Roman"/>
                <w:b/>
                <w:bCs/>
                <w:i/>
                <w:iCs/>
                <w:color w:val="0D0D0D" w:themeColor="text1" w:themeTint="f2"/>
                <w:sz w:val="27"/>
                <w:szCs w:val="27"/>
              </w:rPr>
              <w:t>копії документів, що додаються до заяви, звіряються з оригіналами</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pacing w:val="-4"/>
                <w:sz w:val="27"/>
                <w:szCs w:val="27"/>
              </w:rPr>
            </w:pPr>
            <w:r>
              <w:rPr>
                <w:rFonts w:eastAsia="Times New Roman" w:cs="Times New Roman" w:ascii="Times New Roman" w:hAnsi="Times New Roman"/>
                <w:color w:val="0D0D0D" w:themeColor="text1" w:themeTint="f2"/>
                <w:spacing w:val="-4"/>
                <w:sz w:val="27"/>
                <w:szCs w:val="27"/>
              </w:rPr>
              <w:t>Безпосередньо управлінню соціального захисту населення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В електронній формі шляхом формування заяви адміністратором центру засобами Порталу Дія – для членів сімей осіб, зазначених у </w:t>
            </w:r>
            <w:r>
              <w:fldChar w:fldCharType="begin"/>
            </w:r>
            <w:r>
              <w:rPr>
                <w:sz w:val="27"/>
                <w:szCs w:val="27"/>
                <w:rFonts w:eastAsia="Times New Roman" w:cs="Times New Roman" w:ascii="Times New Roman" w:hAnsi="Times New Roman"/>
                <w:color w:val="0D0D0D"/>
              </w:rPr>
              <w:instrText xml:space="preserve"> HYPERLINK "https://zakon.rada.gov.ua/laws/show/3551-12" \l "n662"</w:instrText>
            </w:r>
            <w:r>
              <w:rPr>
                <w:sz w:val="27"/>
                <w:szCs w:val="27"/>
                <w:rFonts w:eastAsia="Times New Roman" w:cs="Times New Roman" w:ascii="Times New Roman" w:hAnsi="Times New Roman"/>
                <w:color w:val="0D0D0D"/>
              </w:rPr>
              <w:fldChar w:fldCharType="separate"/>
            </w:r>
            <w:r>
              <w:rPr>
                <w:rFonts w:eastAsia="Times New Roman" w:cs="Times New Roman" w:ascii="Times New Roman" w:hAnsi="Times New Roman"/>
                <w:color w:val="0D0D0D" w:themeColor="text1" w:themeTint="f2"/>
                <w:sz w:val="27"/>
                <w:szCs w:val="27"/>
              </w:rPr>
              <w:t>пункті 5</w:t>
            </w:r>
            <w:r>
              <w:rPr>
                <w:sz w:val="27"/>
                <w:szCs w:val="27"/>
                <w:rFonts w:eastAsia="Times New Roman" w:cs="Times New Roman" w:ascii="Times New Roman" w:hAnsi="Times New Roman"/>
                <w:color w:val="0D0D0D"/>
              </w:rPr>
              <w:fldChar w:fldCharType="end"/>
            </w:r>
            <w:r>
              <w:rPr>
                <w:rFonts w:eastAsia="Times New Roman" w:cs="Times New Roman" w:ascii="Times New Roman" w:hAnsi="Times New Roman"/>
                <w:color w:val="0D0D0D" w:themeColor="text1" w:themeTint="f2"/>
                <w:sz w:val="27"/>
                <w:szCs w:val="27"/>
              </w:rPr>
              <w:t xml:space="preserve"> частини першої статті 10</w:t>
            </w:r>
            <w:r>
              <w:rPr>
                <w:rFonts w:eastAsia="Times New Roman" w:cs="Times New Roman" w:ascii="Times New Roman" w:hAnsi="Times New Roman"/>
                <w:bCs/>
                <w:color w:val="0D0D0D" w:themeColor="text1" w:themeTint="f2"/>
                <w:sz w:val="27"/>
                <w:szCs w:val="27"/>
                <w:vertAlign w:val="superscript"/>
              </w:rPr>
              <w:t>1</w:t>
            </w:r>
            <w:r>
              <w:rPr>
                <w:rFonts w:eastAsia="Times New Roman" w:cs="Times New Roman" w:ascii="Times New Roman" w:hAnsi="Times New Roman"/>
                <w:color w:val="0D0D0D" w:themeColor="text1" w:themeTint="f2"/>
                <w:sz w:val="27"/>
                <w:szCs w:val="27"/>
              </w:rPr>
              <w:t xml:space="preserve"> Закону (за наявності технічної можливості).**</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spacing w:before="0" w:after="24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30 календарних днів</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Управління соціального захисту населення відмовляє заявнику у наданні статусу члена сім’ї загиблого (померлого) Захисника чи Захисниці України у разі:</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  якщо заявник не належить до членів сімей загиблих (померлих) Захисників чи Захисниць України, зазначених у статті 10</w:t>
            </w:r>
            <w:r>
              <w:rPr>
                <w:rFonts w:eastAsia="Times New Roman" w:cs="Times New Roman" w:ascii="Times New Roman" w:hAnsi="Times New Roman"/>
                <w:color w:val="0D0D0D" w:themeColor="text1" w:themeTint="f2"/>
                <w:sz w:val="27"/>
                <w:szCs w:val="27"/>
                <w:vertAlign w:val="superscript"/>
              </w:rPr>
              <w:t>1</w:t>
            </w:r>
            <w:r>
              <w:rPr>
                <w:rFonts w:eastAsia="Times New Roman" w:cs="Times New Roman" w:ascii="Times New Roman" w:hAnsi="Times New Roman"/>
                <w:color w:val="0D0D0D" w:themeColor="text1" w:themeTint="f2"/>
                <w:sz w:val="27"/>
                <w:szCs w:val="27"/>
              </w:rPr>
              <w:t xml:space="preserve"> Закону;</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     відсутності необхідних документів;</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     подання неправдивих відомостей;</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     виявлення підробок у поданих документах;</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5)</w:t>
            </w:r>
            <w:r>
              <w:rPr>
                <w:rFonts w:eastAsia="Times New Roman"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D0D0D" w:themeColor="text1" w:themeTint="f2"/>
                <w:sz w:val="27"/>
                <w:szCs w:val="27"/>
                <w:shd w:fill="FFFFFF" w:val="clear"/>
              </w:rPr>
              <w:t>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6) </w:t>
            </w:r>
            <w:r>
              <w:rPr>
                <w:rFonts w:cs="Times New Roman" w:ascii="Times New Roman" w:hAnsi="Times New Roman"/>
                <w:color w:val="0D0D0D" w:themeColor="text1" w:themeTint="f2"/>
                <w:sz w:val="27"/>
                <w:szCs w:val="27"/>
                <w:shd w:fill="FFFFFF" w:val="clear"/>
              </w:rPr>
              <w:t>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eastAsia="Times New Roman" w:cs="Times New Roman" w:ascii="Times New Roman" w:hAnsi="Times New Roman"/>
                <w:color w:val="0D0D0D" w:themeColor="text1" w:themeTint="f2"/>
                <w:sz w:val="27"/>
                <w:szCs w:val="27"/>
              </w:rPr>
              <w:t>.</w:t>
            </w:r>
          </w:p>
        </w:tc>
      </w:tr>
      <w:tr>
        <w:trPr>
          <w:trHeight w:val="671"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58" w:leader="none"/>
                <w:tab w:val="left" w:pos="449"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Повідомлення про надання або відмову у наданні статусу члена сім’ї загиблого Захисника чи Захисниці України</w:t>
            </w:r>
          </w:p>
        </w:tc>
      </w:tr>
      <w:tr>
        <w:trPr>
          <w:trHeight w:val="536"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690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D0D0D" w:themeColor="text1" w:themeTint="f2"/>
                <w:sz w:val="27"/>
                <w:szCs w:val="27"/>
              </w:rPr>
              <w:t>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spacing w:before="240" w:after="240"/>
        <w:jc w:val="both"/>
        <w:rPr>
          <w:rFonts w:ascii="Times New Roman" w:hAnsi="Times New Roman" w:cs="Times New Roman"/>
          <w:color w:val="0D0D0D"/>
          <w:sz w:val="27"/>
          <w:szCs w:val="27"/>
          <w:shd w:fill="FFFFFF" w:val="clear"/>
        </w:rPr>
      </w:pPr>
      <w:r>
        <w:rPr>
          <w:rFonts w:eastAsia="Times New Roman" w:cs="Times New Roman" w:ascii="Times New Roman" w:hAnsi="Times New Roman"/>
          <w:bCs/>
          <w:color w:val="0D0D0D"/>
          <w:sz w:val="27"/>
          <w:szCs w:val="27"/>
        </w:rPr>
      </w:r>
    </w:p>
    <w:p>
      <w:pPr>
        <w:pStyle w:val="Normal"/>
        <w:rPr>
          <w:rFonts w:ascii="Times New Roman" w:hAnsi="Times New Roman" w:eastAsia="Times New Roman" w:cs="Times New Roman"/>
          <w:bCs/>
          <w:color w:val="0D0D0D"/>
          <w:sz w:val="27"/>
          <w:szCs w:val="27"/>
        </w:rPr>
      </w:pPr>
      <w:r>
        <w:rPr/>
      </w:r>
    </w:p>
    <w:sectPr>
      <w:headerReference w:type="default" r:id="rId3"/>
      <w:type w:val="nextPage"/>
      <w:pgSz w:w="11906" w:h="16838"/>
      <w:pgMar w:left="1276" w:right="851" w:gutter="0" w:header="510" w:top="1134" w:footer="0" w:bottom="1418"/>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677" w:leader="none"/>
        <w:tab w:val="right" w:pos="9355" w:leader="none"/>
      </w:tabs>
      <w:rPr>
        <w:color w:val="000000"/>
        <w:sz w:val="28"/>
        <w:szCs w:val="28"/>
      </w:rPr>
    </w:pPr>
    <w:r>
      <w:rPr>
        <w:color w:val="000000"/>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ій колонтитул Знак"/>
    <w:basedOn w:val="DefaultParagraphFont"/>
    <w:uiPriority w:val="99"/>
    <w:qFormat/>
    <w:rsid w:val="009e09b9"/>
    <w:rPr/>
  </w:style>
  <w:style w:type="character" w:styleId="Style9" w:customStyle="1">
    <w:name w:val="Нижній колонтитул Знак"/>
    <w:basedOn w:val="DefaultParagraphFont"/>
    <w:uiPriority w:val="99"/>
    <w:qFormat/>
    <w:rsid w:val="009e09b9"/>
    <w:rPr/>
  </w:style>
  <w:style w:type="character" w:styleId="Rvts37" w:customStyle="1">
    <w:name w:val="rvts37"/>
    <w:basedOn w:val="DefaultParagraphFont"/>
    <w:qFormat/>
    <w:rsid w:val="00365f6e"/>
    <w:rPr/>
  </w:style>
  <w:style w:type="character" w:styleId="Style10">
    <w:name w:val="Hyperlink"/>
    <w:basedOn w:val="DefaultParagraphFont"/>
    <w:uiPriority w:val="99"/>
    <w:semiHidden/>
    <w:unhideWhenUsed/>
    <w:rsid w:val="00a833d9"/>
    <w:rPr>
      <w:color w:val="0000FF"/>
      <w:u w:val="single"/>
    </w:rPr>
  </w:style>
  <w:style w:type="paragraph" w:styleId="Style11">
    <w:name w:val="Заголовок"/>
    <w:basedOn w:val="Normal"/>
    <w:next w:val="Style12"/>
    <w:qFormat/>
    <w:pPr>
      <w:keepNext w:val="true"/>
      <w:spacing w:before="240" w:after="120"/>
    </w:pPr>
    <w:rPr>
      <w:rFonts w:ascii="Liberation Sans" w:hAnsi="Liberation Sans" w:eastAsia="Microsoft YaHei" w:cs="Mang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Mangal"/>
    </w:rPr>
  </w:style>
  <w:style w:type="paragraph" w:styleId="Style14">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Title"/>
    <w:basedOn w:val="Normal"/>
    <w:next w:val="Normal"/>
    <w:uiPriority w:val="10"/>
    <w:qFormat/>
    <w:pPr>
      <w:keepNext w:val="true"/>
      <w:keepLines/>
      <w:spacing w:before="480" w:after="120"/>
    </w:pPr>
    <w:rPr>
      <w:b/>
      <w:sz w:val="72"/>
      <w:szCs w:val="72"/>
    </w:rPr>
  </w:style>
  <w:style w:type="paragraph" w:styleId="Style17">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18">
    <w:name w:val="Колонтитул"/>
    <w:basedOn w:val="Normal"/>
    <w:qFormat/>
    <w:pPr/>
    <w:rPr/>
  </w:style>
  <w:style w:type="paragraph" w:styleId="Style19">
    <w:name w:val="Header"/>
    <w:basedOn w:val="Normal"/>
    <w:link w:val="Style8"/>
    <w:uiPriority w:val="99"/>
    <w:unhideWhenUsed/>
    <w:rsid w:val="009e09b9"/>
    <w:pPr>
      <w:tabs>
        <w:tab w:val="clear" w:pos="720"/>
        <w:tab w:val="center" w:pos="4819" w:leader="none"/>
        <w:tab w:val="right" w:pos="9639" w:leader="none"/>
      </w:tabs>
    </w:pPr>
    <w:rPr/>
  </w:style>
  <w:style w:type="paragraph" w:styleId="Style20">
    <w:name w:val="Footer"/>
    <w:basedOn w:val="Normal"/>
    <w:link w:val="Style9"/>
    <w:uiPriority w:val="99"/>
    <w:unhideWhenUsed/>
    <w:rsid w:val="009e09b9"/>
    <w:pPr>
      <w:tabs>
        <w:tab w:val="clear" w:pos="720"/>
        <w:tab w:val="center" w:pos="4819" w:leader="none"/>
        <w:tab w:val="right" w:pos="9639" w:leader="none"/>
      </w:tabs>
    </w:pPr>
    <w:rPr/>
  </w:style>
  <w:style w:type="paragraph" w:styleId="ListParagraph">
    <w:name w:val="List Paragraph"/>
    <w:basedOn w:val="Normal"/>
    <w:uiPriority w:val="34"/>
    <w:qFormat/>
    <w:rsid w:val="00581791"/>
    <w:pPr>
      <w:spacing w:before="0" w:after="0"/>
      <w:ind w:left="720" w:hanging="0"/>
      <w:contextualSpacing/>
    </w:pPr>
    <w:rPr/>
  </w:style>
  <w:style w:type="paragraph" w:styleId="Rvps2" w:customStyle="1">
    <w:name w:val="rvps2"/>
    <w:basedOn w:val="Normal"/>
    <w:qFormat/>
    <w:rsid w:val="00995054"/>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Application>LibreOffice/7.4.5.1$Windows_X86_64 LibreOffice_project/9c0871452b3918c1019dde9bfac75448afc4b57f</Application>
  <AppVersion>15.0000</AppVersion>
  <Pages>12</Pages>
  <Words>2947</Words>
  <Characters>20658</Characters>
  <CharactersWithSpaces>23581</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2025-09-19T08:46:00Z</dcterms:created>
  <dc:creator>Павленко Інна Анатоліївна</dc:creator>
  <dc:description/>
  <dc:language>ru-RU</dc:language>
  <cp:lastModifiedBy/>
  <dcterms:modified xsi:type="dcterms:W3CDTF">2025-12-17T14:40:01Z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