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eastAsia="Times New Roman" w:cs="Times New Roman"/>
          <w:b/>
          <w:b/>
          <w:color w:val="0D0D0D"/>
          <w:sz w:val="27"/>
          <w:szCs w:val="27"/>
        </w:rPr>
      </w:pPr>
      <w:bookmarkStart w:id="0" w:name="gjdgxs"/>
      <w:bookmarkEnd w:id="0"/>
      <w:r>
        <w:rPr>
          <w:rStyle w:val="Spanrvts0"/>
          <w:b/>
          <w:bCs/>
          <w:color w:val="0D0D0D" w:themeColor="text1" w:themeTint="f2"/>
          <w:sz w:val="27"/>
          <w:szCs w:val="27"/>
          <w:lang w:eastAsia="uk-UA"/>
        </w:rPr>
        <w:t>Встановлення статусу особи з інвалідністю внаслідок війни</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140" w:type="dxa"/>
        <w:jc w:val="left"/>
        <w:tblInd w:w="60" w:type="dxa"/>
        <w:tblLayout w:type="fixed"/>
        <w:tblCellMar>
          <w:top w:w="0" w:type="dxa"/>
          <w:left w:w="108" w:type="dxa"/>
          <w:bottom w:w="0" w:type="dxa"/>
          <w:right w:w="108" w:type="dxa"/>
        </w:tblCellMar>
        <w:tblLook w:firstRow="0" w:noVBand="0" w:lastRow="0" w:firstColumn="0" w:lastColumn="0" w:noHBand="0" w:val="0000"/>
      </w:tblPr>
      <w:tblGrid>
        <w:gridCol w:w="635"/>
        <w:gridCol w:w="2750"/>
        <w:gridCol w:w="6755"/>
      </w:tblGrid>
      <w:tr>
        <w:trPr>
          <w:trHeight w:val="469"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Cs/>
                <w:iCs/>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rHeight w:val="436"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Місцезнаходження </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32"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756"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rHeight w:val="177"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 (далі – Закон)</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2037"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Постанови Кабінету Міністрів України:</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08.02.1994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63 “Про організаційні заходи щодо застосування Закону України “Про статус ветеранів війни, гарантії їх соціального захисту”;</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21.11.2013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917 “Деякі питання встановлення лікарсько-консультативними комісіями інвалідності дітям”;</w:t>
            </w:r>
          </w:p>
          <w:p>
            <w:pPr>
              <w:pStyle w:val="Normal"/>
              <w:widowControl w:val="false"/>
              <w:spacing w:before="0" w:after="0"/>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rPr>
              <w:t>від 20.08.2014 №</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413);</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08.09.2015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685 “Про затвердження Порядку надання статусу особи з інвалідністю внаслідок війни особам, які отримали інвалідність внаслідок </w:t>
            </w:r>
            <w:r>
              <w:rPr>
                <w:rFonts w:cs="Times New Roman" w:ascii="Times New Roman" w:hAnsi="Times New Roman"/>
                <w:color w:val="0D0D0D" w:themeColor="text1" w:themeTint="f2"/>
                <w:sz w:val="27"/>
                <w:szCs w:val="27"/>
              </w:rPr>
              <w:t>травми (поранення, контузії, каліцтва) або захворювання</w:t>
            </w:r>
            <w:r>
              <w:rPr>
                <w:rFonts w:eastAsia="Times New Roman" w:cs="Times New Roman" w:ascii="Times New Roman" w:hAnsi="Times New Roman"/>
                <w:color w:val="0D0D0D" w:themeColor="text1" w:themeTint="f2"/>
                <w:sz w:val="27"/>
                <w:szCs w:val="27"/>
              </w:rPr>
              <w:t>,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Порядок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685);</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25.04.2018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306 “Деякі питання встановлення зв’язку інвалідності з пораненнями чи іншими ушкодженнями здоров’я”;</w:t>
            </w:r>
          </w:p>
          <w:p>
            <w:pPr>
              <w:pStyle w:val="Normal"/>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від 15.11.2024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1338 “</w:t>
            </w:r>
            <w:r>
              <w:rPr>
                <w:rFonts w:cs="Times New Roman" w:ascii="Times New Roman" w:hAnsi="Times New Roman"/>
                <w:color w:val="0D0D0D" w:themeColor="text1" w:themeTint="f2"/>
                <w:sz w:val="27"/>
                <w:szCs w:val="27"/>
                <w:shd w:fill="FFFFFF" w:val="clear"/>
              </w:rPr>
              <w:t>Деякі питання запровадження оцінювання повсякденного функціонування особи</w:t>
            </w:r>
            <w:r>
              <w:rPr>
                <w:rFonts w:eastAsia="Times New Roman" w:cs="Times New Roman" w:ascii="Times New Roman" w:hAnsi="Times New Roman"/>
                <w:color w:val="0D0D0D" w:themeColor="text1" w:themeTint="f2"/>
                <w:sz w:val="27"/>
                <w:szCs w:val="27"/>
              </w:rPr>
              <w:t>”.</w:t>
            </w:r>
          </w:p>
        </w:tc>
      </w:tr>
      <w:tr>
        <w:trPr>
          <w:trHeight w:val="224" w:hRule="atLeast"/>
        </w:trPr>
        <w:tc>
          <w:tcPr>
            <w:tcW w:w="1014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rHeight w:val="477"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75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Звернення особи, якій встановлена інвалідність внаслідок:</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травми (поранення, контузії, каліцтва) або захворювання:</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захисту Батьківщини, виконання обов’язків військової служби (службових обов’язків) чи пов’язаних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захисту Батьківщини, виконання інших обов’язків військової служби, пов’язаних з перебуванням на фронті в інші періоди;</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в районах бойових дій у період Другої світової війни та від вибухових речовин, боєприпасів і військового озброєння у повоєнний період;</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під час виконання робіт, пов’язаних з розмінуванням боєприпасів, незалежно від часу їх виконання;</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одержаних у неповнолітньому віці внаслідок воєнних дій громадянської та Другої світової воєн та в повоєнний період;</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з участю у бойових діях та перебуванням на території інших держав;</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 пов’язаних із забезпеченням проведення антитерористичної операції або заходів проти військової агресії Російської Федерації проти України;</w:t>
            </w:r>
          </w:p>
          <w:p>
            <w:pPr>
              <w:pStyle w:val="Rvps2"/>
              <w:widowControl w:val="false"/>
              <w:shd w:val="clear" w:color="auto" w:fill="FFFFFF"/>
              <w:spacing w:beforeAutospacing="0" w:before="0" w:afterAutospacing="0" w:after="12"/>
              <w:ind w:firstLine="567"/>
              <w:jc w:val="both"/>
              <w:rPr>
                <w:i/>
                <w:i/>
                <w:iCs/>
                <w:color w:val="0D0D0D"/>
                <w:sz w:val="27"/>
                <w:szCs w:val="27"/>
              </w:rPr>
            </w:pPr>
            <w:r>
              <w:rPr>
                <w:color w:val="0D0D0D" w:themeColor="text1" w:themeTint="f2"/>
                <w:sz w:val="27"/>
                <w:szCs w:val="27"/>
                <w:shd w:fill="FFFFFF" w:val="clear"/>
              </w:rPr>
              <w:t>- одержаних під час виконання службових обов’язків, пов’язаних із виконанням повноважень та основних завдань міліції;</w:t>
            </w:r>
          </w:p>
          <w:p>
            <w:pPr>
              <w:pStyle w:val="Rvps2"/>
              <w:widowControl w:val="false"/>
              <w:shd w:val="clear" w:color="auto" w:fill="FFFFFF"/>
              <w:spacing w:beforeAutospacing="0" w:before="0" w:afterAutospacing="0" w:after="0"/>
              <w:ind w:firstLine="567"/>
              <w:jc w:val="both"/>
              <w:rPr>
                <w:color w:val="0D0D0D"/>
                <w:sz w:val="27"/>
                <w:szCs w:val="27"/>
              </w:rPr>
            </w:pPr>
            <w:r>
              <w:rPr>
                <w:color w:val="0D0D0D" w:themeColor="text1" w:themeTint="f2"/>
                <w:sz w:val="27"/>
                <w:szCs w:val="27"/>
              </w:rPr>
              <w:t>2)</w:t>
            </w:r>
            <w:r>
              <w:rPr>
                <w:color w:val="0D0D0D" w:themeColor="text1" w:themeTint="f2"/>
                <w:sz w:val="27"/>
                <w:szCs w:val="27"/>
                <w:shd w:fill="FFFFFF" w:val="clear"/>
              </w:rPr>
              <w:t> </w:t>
            </w:r>
            <w:r>
              <w:rPr>
                <w:color w:val="0D0D0D" w:themeColor="text1" w:themeTint="f2"/>
                <w:sz w:val="27"/>
                <w:szCs w:val="27"/>
              </w:rPr>
              <w:t>поранення чи інших ушкоджень здоров’я одержаних під час антитерористичної операції або заходів проти військової агресії Російської Федерації проти України;</w:t>
            </w:r>
          </w:p>
          <w:p>
            <w:pPr>
              <w:pStyle w:val="Rvps2"/>
              <w:widowControl w:val="false"/>
              <w:shd w:val="clear" w:color="auto" w:fill="FFFFFF"/>
              <w:spacing w:beforeAutospacing="0" w:before="0" w:afterAutospacing="0" w:after="0"/>
              <w:ind w:firstLine="567"/>
              <w:jc w:val="both"/>
              <w:rPr>
                <w:rFonts w:eastAsia="Bookman Old Style"/>
                <w:color w:val="0D0D0D"/>
                <w:sz w:val="27"/>
                <w:szCs w:val="27"/>
                <w:shd w:fill="FFFFFF" w:val="clear"/>
              </w:rPr>
            </w:pPr>
            <w:r>
              <w:rPr>
                <w:color w:val="0D0D0D" w:themeColor="text1" w:themeTint="f2"/>
                <w:sz w:val="27"/>
                <w:szCs w:val="27"/>
              </w:rPr>
              <w:t>3)</w:t>
            </w:r>
            <w:r>
              <w:rPr>
                <w:color w:val="0D0D0D" w:themeColor="text1" w:themeTint="f2"/>
                <w:sz w:val="27"/>
                <w:szCs w:val="27"/>
                <w:shd w:fill="FFFFFF" w:val="clear"/>
              </w:rPr>
              <w:t> </w:t>
            </w:r>
            <w:r>
              <w:rPr>
                <w:color w:val="0D0D0D" w:themeColor="text1" w:themeTint="f2"/>
                <w:sz w:val="27"/>
                <w:szCs w:val="27"/>
              </w:rPr>
              <w:t>поранення, травми, каліцтва, контузії чи інших ушкоджень  здоров’я, отриманих під час участі у Революції Гідності.</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750"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0"/>
              <w:jc w:val="both"/>
              <w:rPr>
                <w:rFonts w:ascii="Times New Roman" w:hAnsi="Times New Roman" w:eastAsia="Times New Roman" w:cs="Times New Roman"/>
                <w:b/>
                <w:b/>
                <w:bCs/>
                <w:color w:val="0D0D0D"/>
                <w:sz w:val="27"/>
                <w:szCs w:val="27"/>
              </w:rPr>
            </w:pPr>
            <w:r>
              <w:rPr>
                <w:rFonts w:eastAsia="Times New Roman" w:cs="Times New Roman" w:ascii="Times New Roman" w:hAnsi="Times New Roman"/>
                <w:b/>
                <w:color w:val="0D0D0D" w:themeColor="text1" w:themeTint="f2"/>
                <w:sz w:val="27"/>
                <w:szCs w:val="27"/>
              </w:rPr>
              <w:t>До управління соціального захисту населення</w:t>
            </w:r>
            <w:r>
              <w:rPr>
                <w:rFonts w:eastAsia="Times New Roman" w:cs="Times New Roman" w:ascii="Times New Roman" w:hAnsi="Times New Roman"/>
                <w:b/>
                <w:bCs/>
                <w:color w:val="0D0D0D" w:themeColor="text1" w:themeTint="f2"/>
                <w:sz w:val="27"/>
                <w:szCs w:val="27"/>
              </w:rPr>
              <w:t xml:space="preserve"> за задекларованим/зареєстрованим місцем проживання (перебування) або за адресою фактичного місця проживання (для внутрішньо переміщених осіб) заявника </w:t>
            </w:r>
            <w:r>
              <w:rPr>
                <w:rFonts w:eastAsia="Times New Roman" w:cs="Times New Roman" w:ascii="Times New Roman" w:hAnsi="Times New Roman"/>
                <w:b/>
                <w:color w:val="0D0D0D" w:themeColor="text1" w:themeTint="f2"/>
                <w:sz w:val="27"/>
                <w:szCs w:val="27"/>
              </w:rPr>
              <w:t>особи, зазначені у пунктах 1-10 частини другої статті 7 Закону, подають:</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заяву довільної форми;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r>
              <w:rPr>
                <w:rFonts w:eastAsia="Times New Roman" w:cs="Times New Roman" w:ascii="Times New Roman" w:hAnsi="Times New Roman"/>
                <w:color w:val="0D0D0D" w:themeColor="text1" w:themeTint="f2"/>
                <w:sz w:val="27"/>
                <w:szCs w:val="27"/>
              </w:rPr>
              <w:t xml:space="preserve">або висновку лікарсько-консультативної комісії лікувально-профілактичного закладу про встановлення особі віком </w:t>
              <w:br/>
              <w:t>до 18 років категорії “дитина з інвалідністю”;</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w:t>
            </w:r>
            <w:r>
              <w:rPr>
                <w:rFonts w:cs="Times New Roman" w:ascii="Times New Roman" w:hAnsi="Times New Roman"/>
                <w:color w:val="0D0D0D" w:themeColor="text1" w:themeTint="f2"/>
                <w:sz w:val="27"/>
                <w:szCs w:val="27"/>
                <w:shd w:fill="FFFFFF" w:val="clear"/>
              </w:rPr>
              <w:t>паспорта громадянина України/ тимчасового посвідчення громадянина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що засвідчує реєстрацію у Державному реєстрі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Pr>
                <w:rFonts w:eastAsia="Times New Roman" w:cs="Times New Roman" w:ascii="Times New Roman" w:hAnsi="Times New Roman"/>
                <w:bCs/>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платників податків, внесені до паспорта громадянина України;</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Pr>
                <w:rFonts w:eastAsia="Times New Roman" w:cs="Times New Roman" w:ascii="Times New Roman" w:hAnsi="Times New Roman"/>
                <w:b/>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свідоцтва про народження) </w:t>
            </w:r>
            <w:r>
              <w:rPr>
                <w:rFonts w:eastAsia="Times New Roman" w:cs="Times New Roman" w:ascii="Times New Roman" w:hAnsi="Times New Roman"/>
                <w:b/>
                <w:color w:val="0D0D0D" w:themeColor="text1" w:themeTint="f2"/>
                <w:sz w:val="27"/>
                <w:szCs w:val="27"/>
              </w:rPr>
              <w:t>–</w:t>
            </w:r>
            <w:r>
              <w:rPr>
                <w:rFonts w:eastAsia="Times New Roman" w:cs="Times New Roman" w:ascii="Times New Roman" w:hAnsi="Times New Roman"/>
                <w:color w:val="0D0D0D" w:themeColor="text1" w:themeTint="f2"/>
                <w:sz w:val="27"/>
                <w:szCs w:val="27"/>
              </w:rPr>
              <w:t xml:space="preserve"> у разі подання документів законним представником або уповноваженою особою.</w:t>
            </w:r>
          </w:p>
          <w:p>
            <w:pPr>
              <w:pStyle w:val="Normal"/>
              <w:keepNext w:val="true"/>
              <w:widowControl w:val="false"/>
              <w:spacing w:before="0" w:after="0"/>
              <w:jc w:val="both"/>
              <w:rPr>
                <w:rFonts w:ascii="Times New Roman" w:hAnsi="Times New Roman" w:eastAsia="Times New Roman" w:cs="Times New Roman"/>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 управління соціального захисту населення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1. Заяву:</w:t>
            </w:r>
          </w:p>
          <w:p>
            <w:pPr>
              <w:pStyle w:val="Normal"/>
              <w:keepNext w:val="true"/>
              <w:widowControl w:val="false"/>
              <w:ind w:firstLine="57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 встановленого зразка згідно з додатком до Порядку № 685;</w:t>
            </w:r>
          </w:p>
          <w:p>
            <w:pPr>
              <w:pStyle w:val="Normal"/>
              <w:keepLines/>
              <w:widowControl w:val="false"/>
              <w:spacing w:before="0" w:after="12"/>
              <w:ind w:firstLine="566"/>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2) </w:t>
            </w:r>
            <w:r>
              <w:rPr>
                <w:rFonts w:eastAsia="Times New Roman" w:cs="Times New Roman" w:ascii="Times New Roman" w:hAnsi="Times New Roman"/>
                <w:b/>
                <w:bCs/>
                <w:color w:val="0D0D0D" w:themeColor="text1" w:themeTint="f2"/>
                <w:sz w:val="27"/>
                <w:szCs w:val="27"/>
              </w:rPr>
              <w:t>** в електронній формі</w:t>
            </w:r>
            <w:r>
              <w:rPr>
                <w:rFonts w:eastAsia="Times New Roman" w:cs="Times New Roman" w:ascii="Times New Roman" w:hAnsi="Times New Roman"/>
                <w:color w:val="0D0D0D" w:themeColor="text1" w:themeTint="f2"/>
                <w:sz w:val="27"/>
                <w:szCs w:val="27"/>
              </w:rPr>
              <w:t xml:space="preserve"> (для заявників з числа осіб, зазначених у пункті 11 частини другої статті 7 Закону).</w:t>
            </w:r>
          </w:p>
          <w:p>
            <w:pPr>
              <w:pStyle w:val="Normal"/>
              <w:keepNext w:val="true"/>
              <w:widowControl w:val="false"/>
              <w:ind w:firstLine="567"/>
              <w:jc w:val="both"/>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2. До заяви у паперовій формі за наявності (у разі відсутності витребовуються управлінням соціального захисту населення)*</w:t>
            </w:r>
            <w:r>
              <w:rPr>
                <w:rFonts w:eastAsia="Times New Roman" w:cs="Times New Roman" w:ascii="Times New Roman" w:hAnsi="Times New Roman"/>
                <w:b/>
                <w:i/>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додаються копії (скановані копії):</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про взяття на облік внутрішньо переміщеної особи (для внутрішньо переміщених осіб);</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z w:val="27"/>
                <w:szCs w:val="27"/>
              </w:rPr>
              <w:t>**д</w:t>
            </w:r>
            <w:r>
              <w:rPr>
                <w:rFonts w:eastAsia="Times New Roman" w:cs="Times New Roman" w:ascii="Times New Roman" w:hAnsi="Times New Roman"/>
                <w:b/>
                <w:color w:val="0D0D0D" w:themeColor="text1" w:themeTint="f2"/>
                <w:sz w:val="27"/>
                <w:szCs w:val="27"/>
              </w:rPr>
              <w:t>ля військовослужбовців</w:t>
            </w:r>
            <w:r>
              <w:rPr>
                <w:rFonts w:eastAsia="Times New Roman" w:cs="Times New Roman" w:ascii="Times New Roman" w:hAnsi="Times New Roman"/>
                <w:color w:val="0D0D0D" w:themeColor="text1" w:themeTint="f2"/>
                <w:sz w:val="27"/>
                <w:szCs w:val="27"/>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w:t>
              <w:br/>
            </w:r>
            <w:r>
              <w:rPr>
                <w:rFonts w:eastAsia="Times New Roman" w:cs="Times New Roman" w:ascii="Times New Roman" w:hAnsi="Times New Roman"/>
                <w:i/>
                <w:color w:val="0D0D0D" w:themeColor="text1" w:themeTint="f2"/>
                <w:sz w:val="27"/>
                <w:szCs w:val="27"/>
              </w:rPr>
              <w:t>(пункт 11 частини другої статті 7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eastAsia="Times New Roman" w:cs="Times New Roman" w:ascii="Times New Roman" w:hAnsi="Times New Roman"/>
                <w:color w:val="0D0D0D" w:themeColor="text1" w:themeTint="f2"/>
                <w:sz w:val="27"/>
                <w:szCs w:val="27"/>
              </w:rPr>
              <w:t>-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w:t>
            </w:r>
            <w:r>
              <w:rPr>
                <w:rFonts w:cs="Times New Roman" w:ascii="Times New Roman" w:hAnsi="Times New Roman"/>
                <w:color w:val="0D0D0D" w:themeColor="text1" w:themeTint="f2"/>
                <w:sz w:val="27"/>
                <w:szCs w:val="27"/>
              </w:rPr>
              <w:t> </w:t>
            </w:r>
            <w:r>
              <w:rPr>
                <w:rFonts w:eastAsia="Times New Roman" w:cs="Times New Roman" w:ascii="Times New Roman" w:hAnsi="Times New Roman"/>
                <w:color w:val="0D0D0D" w:themeColor="text1" w:themeTint="f2"/>
                <w:sz w:val="27"/>
                <w:szCs w:val="27"/>
              </w:rPr>
              <w:t xml:space="preserve">413, </w:t>
            </w:r>
            <w:r>
              <w:rPr>
                <w:rFonts w:cs="Times New Roman" w:ascii="Times New Roman" w:hAnsi="Times New Roman"/>
                <w:color w:val="0D0D0D" w:themeColor="text1" w:themeTint="f2"/>
                <w:sz w:val="27"/>
                <w:szCs w:val="27"/>
                <w:shd w:fill="FFFFFF" w:val="clear"/>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spacing w:before="0" w:after="12"/>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У разі коли військову частину (орган, підрозділ)</w:t>
              <w:br/>
              <w:t>розформовано</w:t>
            </w:r>
            <w:r>
              <w:rPr>
                <w:rFonts w:eastAsia="Times New Roman"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shd w:fill="FFFFFF" w:val="clear"/>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pacing w:val="-2"/>
                <w:sz w:val="27"/>
                <w:szCs w:val="27"/>
              </w:rPr>
            </w:pPr>
            <w:r>
              <w:rPr>
                <w:rFonts w:eastAsia="Times New Roman" w:cs="Times New Roman" w:ascii="Times New Roman" w:hAnsi="Times New Roman"/>
                <w:color w:val="0D0D0D" w:themeColor="text1" w:themeTint="f2"/>
                <w:spacing w:val="-2"/>
                <w:sz w:val="27"/>
                <w:szCs w:val="27"/>
              </w:rPr>
              <w:t>2)</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pacing w:val="-2"/>
                <w:sz w:val="27"/>
                <w:szCs w:val="27"/>
              </w:rPr>
              <w:t>**</w:t>
            </w:r>
            <w:r>
              <w:rPr>
                <w:rFonts w:eastAsia="Times New Roman" w:cs="Times New Roman" w:ascii="Times New Roman" w:hAnsi="Times New Roman"/>
                <w:b/>
                <w:color w:val="0D0D0D" w:themeColor="text1" w:themeTint="f2"/>
                <w:spacing w:val="-2"/>
                <w:sz w:val="27"/>
                <w:szCs w:val="27"/>
              </w:rPr>
              <w:t>для осіб, які входили до складу добровольчого формування територіальної громади</w:t>
            </w:r>
            <w:r>
              <w:rPr>
                <w:rFonts w:eastAsia="Times New Roman" w:cs="Times New Roman" w:ascii="Times New Roman" w:hAnsi="Times New Roman"/>
                <w:color w:val="0D0D0D" w:themeColor="text1" w:themeTint="f2"/>
                <w:spacing w:val="-2"/>
                <w:sz w:val="27"/>
                <w:szCs w:val="27"/>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rFonts w:eastAsia="Times New Roman" w:cs="Times New Roman" w:ascii="Times New Roman" w:hAnsi="Times New Roman"/>
                <w:i/>
                <w:color w:val="0D0D0D" w:themeColor="text1" w:themeTint="f2"/>
                <w:spacing w:val="-2"/>
                <w:sz w:val="27"/>
                <w:szCs w:val="27"/>
              </w:rPr>
              <w:t>(пункт 11 частини другої статті 7 Закону)</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hanging="0"/>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hanging="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контракту добровольця територіальної оборони*;</w:t>
            </w:r>
          </w:p>
          <w:p>
            <w:pPr>
              <w:pStyle w:val="Normal"/>
              <w:keepNext w:val="true"/>
              <w:widowControl w:val="false"/>
              <w:spacing w:before="0" w:after="0"/>
              <w:ind w:hanging="0"/>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довідки за формою згідно з додатком 6 до Порядку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pPr>
              <w:pStyle w:val="Normal"/>
              <w:keepNext w:val="true"/>
              <w:widowControl w:val="false"/>
              <w:ind w:firstLine="567"/>
              <w:jc w:val="both"/>
              <w:rPr>
                <w:rFonts w:ascii="Times New Roman" w:hAnsi="Times New Roman" w:eastAsia="Times New Roman" w:cs="Times New Roman"/>
                <w:color w:val="0D0D0D"/>
                <w:spacing w:val="-2"/>
                <w:sz w:val="27"/>
                <w:szCs w:val="27"/>
              </w:rPr>
            </w:pPr>
            <w:r>
              <w:rPr>
                <w:rFonts w:eastAsia="Times New Roman" w:cs="Times New Roman" w:ascii="Times New Roman" w:hAnsi="Times New Roman"/>
                <w:color w:val="0D0D0D" w:themeColor="text1" w:themeTint="f2"/>
                <w:spacing w:val="-2"/>
                <w:sz w:val="27"/>
                <w:szCs w:val="27"/>
              </w:rPr>
              <w:t>3)</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b/>
                <w:bCs/>
                <w:color w:val="0D0D0D" w:themeColor="text1" w:themeTint="f2"/>
                <w:spacing w:val="-2"/>
                <w:sz w:val="27"/>
                <w:szCs w:val="27"/>
              </w:rPr>
              <w:t>**</w:t>
            </w:r>
            <w:r>
              <w:rPr>
                <w:rFonts w:eastAsia="Times New Roman" w:cs="Times New Roman" w:ascii="Times New Roman" w:hAnsi="Times New Roman"/>
                <w:b/>
                <w:color w:val="0D0D0D" w:themeColor="text1" w:themeTint="f2"/>
                <w:spacing w:val="-2"/>
                <w:sz w:val="27"/>
                <w:szCs w:val="27"/>
              </w:rPr>
              <w:t>для працівників підприємств, установ, організацій</w:t>
            </w:r>
            <w:r>
              <w:rPr>
                <w:rFonts w:eastAsia="Times New Roman" w:cs="Times New Roman" w:ascii="Times New Roman" w:hAnsi="Times New Roman"/>
                <w:color w:val="0D0D0D" w:themeColor="text1" w:themeTint="f2"/>
                <w:spacing w:val="-2"/>
                <w:sz w:val="27"/>
                <w:szCs w:val="27"/>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Pr>
                <w:rFonts w:eastAsia="Times New Roman" w:cs="Times New Roman" w:ascii="Times New Roman" w:hAnsi="Times New Roman"/>
                <w:i/>
                <w:color w:val="0D0D0D" w:themeColor="text1" w:themeTint="f2"/>
                <w:spacing w:val="-2"/>
                <w:sz w:val="27"/>
                <w:szCs w:val="27"/>
              </w:rPr>
              <w:t>(пункт 11 частини другої статті 7 Закону**)</w:t>
            </w:r>
            <w:r>
              <w:rPr>
                <w:rFonts w:eastAsia="Times New Roman" w:cs="Times New Roman" w:ascii="Times New Roman" w:hAnsi="Times New Roman"/>
                <w:color w:val="0D0D0D" w:themeColor="text1" w:themeTint="f2"/>
                <w:spacing w:val="-2"/>
                <w:sz w:val="27"/>
                <w:szCs w:val="27"/>
              </w:rPr>
              <w:t>:</w:t>
            </w:r>
          </w:p>
          <w:p>
            <w:pPr>
              <w:pStyle w:val="Normal"/>
              <w:keepNext w:val="true"/>
              <w:widowControl w:val="false"/>
              <w:ind w:hanging="0"/>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xml:space="preserve">      </w:t>
            </w: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widowControl w:val="false"/>
              <w:spacing w:before="0" w:after="0"/>
              <w:ind w:hanging="0"/>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документів про виконання підприємствами, установами і організаціями мобілізаційних завдань (замовлень), а також документів, що були підставою для прийняття керівниками підприємств, установ і організацій рішення про направлення осіб у таке відрядження)*.</w:t>
            </w:r>
          </w:p>
          <w:p>
            <w:pPr>
              <w:pStyle w:val="Normal"/>
              <w:keepNext w:val="true"/>
              <w:widowControl w:val="false"/>
              <w:ind w:firstLine="567"/>
              <w:jc w:val="both"/>
              <w:rPr>
                <w:rFonts w:ascii="Times New Roman" w:hAnsi="Times New Roman" w:eastAsia="Times New Roman" w:cs="Times New Roman"/>
                <w:i/>
                <w:i/>
                <w:color w:val="0D0D0D"/>
                <w:sz w:val="27"/>
                <w:szCs w:val="27"/>
              </w:rPr>
            </w:pPr>
            <w:r>
              <w:rPr>
                <w:rFonts w:eastAsia="Times New Roman" w:cs="Times New Roman" w:ascii="Times New Roman" w:hAnsi="Times New Roman"/>
                <w:color w:val="0D0D0D" w:themeColor="text1" w:themeTint="f2"/>
                <w:sz w:val="27"/>
                <w:szCs w:val="27"/>
              </w:rPr>
              <w:t>4)</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w:t>
            </w:r>
            <w:r>
              <w:rPr>
                <w:rFonts w:eastAsia="Times New Roman" w:cs="Times New Roman" w:ascii="Times New Roman" w:hAnsi="Times New Roman"/>
                <w:i/>
                <w:color w:val="0D0D0D" w:themeColor="text1" w:themeTint="f2"/>
                <w:sz w:val="27"/>
                <w:szCs w:val="27"/>
              </w:rPr>
              <w:t>(пункт 12 частини другої статті 7 Закону):</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p>
          <w:p>
            <w:pPr>
              <w:pStyle w:val="Normal"/>
              <w:keepNext w:val="true"/>
              <w:widowControl w:val="false"/>
              <w:ind w:firstLine="567"/>
              <w:jc w:val="both"/>
              <w:rPr>
                <w:rFonts w:ascii="Times New Roman" w:hAnsi="Times New Roman" w:cs="Times New Roman"/>
                <w:color w:val="0D0D0D"/>
                <w:sz w:val="27"/>
                <w:szCs w:val="27"/>
                <w:shd w:fill="FFFFFF" w:val="clear"/>
              </w:rPr>
            </w:pPr>
            <w:r>
              <w:rPr>
                <w:rFonts w:eastAsia="Times New Roman" w:cs="Times New Roman" w:ascii="Times New Roman" w:hAnsi="Times New Roman"/>
                <w:color w:val="0D0D0D" w:themeColor="text1" w:themeTint="f2"/>
                <w:sz w:val="27"/>
                <w:szCs w:val="27"/>
              </w:rPr>
              <w:t>-   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w:t>
            </w:r>
            <w:r>
              <w:rPr>
                <w:rFonts w:cs="Times New Roman" w:ascii="Times New Roman" w:hAnsi="Times New Roman"/>
                <w:color w:val="0D0D0D" w:themeColor="text1" w:themeTint="f2"/>
                <w:sz w:val="27"/>
                <w:szCs w:val="27"/>
              </w:rPr>
              <w:t> </w:t>
            </w:r>
            <w:r>
              <w:rPr>
                <w:rFonts w:eastAsia="Times New Roman" w:cs="Times New Roman" w:ascii="Times New Roman" w:hAnsi="Times New Roman"/>
                <w:color w:val="0D0D0D" w:themeColor="text1" w:themeTint="f2"/>
                <w:sz w:val="27"/>
                <w:szCs w:val="27"/>
              </w:rPr>
              <w:t xml:space="preserve">413, </w:t>
            </w:r>
            <w:r>
              <w:rPr>
                <w:rFonts w:cs="Times New Roman" w:ascii="Times New Roman" w:hAnsi="Times New Roman"/>
                <w:color w:val="0D0D0D" w:themeColor="text1" w:themeTint="f2"/>
                <w:sz w:val="27"/>
                <w:szCs w:val="27"/>
                <w:shd w:fill="FFFFFF" w:val="clear"/>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У разі коли військову частину (орган, підрозділ)</w:t>
              <w:br/>
              <w:t>розформовано</w:t>
            </w:r>
            <w:r>
              <w:rPr>
                <w:rFonts w:eastAsia="Times New Roman"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shd w:fill="FFFFFF" w:val="clear"/>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w:t>
            </w:r>
            <w:r>
              <w:rPr>
                <w:rFonts w:eastAsia="Times New Roman" w:cs="Times New Roman" w:ascii="Times New Roman" w:hAnsi="Times New Roman"/>
                <w:i/>
                <w:color w:val="0D0D0D" w:themeColor="text1" w:themeTint="f2"/>
                <w:sz w:val="27"/>
                <w:szCs w:val="27"/>
              </w:rPr>
              <w:t>(пункт 13 частини другої статті 7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r>
              <w:rPr>
                <w:rFonts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w:t>
            </w:r>
            <w:r>
              <w:rPr>
                <w:rFonts w:eastAsia="Times New Roman" w:cs="Times New Roman" w:ascii="Times New Roman" w:hAnsi="Times New Roman"/>
                <w:i/>
                <w:color w:val="0D0D0D" w:themeColor="text1" w:themeTint="f2"/>
                <w:sz w:val="27"/>
                <w:szCs w:val="27"/>
              </w:rPr>
              <w:t>(пункт 14 частини другої статті 7 Закону)</w:t>
            </w:r>
            <w:r>
              <w:rPr>
                <w:rFonts w:eastAsia="Times New Roman" w:cs="Times New Roman" w:ascii="Times New Roman" w:hAnsi="Times New Roman"/>
                <w:color w:val="0D0D0D" w:themeColor="text1" w:themeTint="f2"/>
                <w:sz w:val="27"/>
                <w:szCs w:val="27"/>
              </w:rPr>
              <w:t xml:space="preserve">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0"/>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b w:val="false"/>
                <w:bCs w:val="false"/>
                <w:color w:val="0D0D0D" w:themeColor="text1" w:themeTint="f2"/>
                <w:sz w:val="27"/>
                <w:szCs w:val="27"/>
              </w:rPr>
              <w:t xml:space="preserve">7) для осіб, які стали особами з інвалідністю внаслідок травми </w:t>
            </w:r>
            <w:r>
              <w:rPr>
                <w:rFonts w:eastAsia="Times New Roman" w:cs="Times New Roman" w:ascii="Times New Roman" w:hAnsi="Times New Roman"/>
                <w:color w:val="0D0D0D" w:themeColor="text1" w:themeTint="f2"/>
                <w:sz w:val="27"/>
                <w:szCs w:val="27"/>
              </w:rPr>
              <w:t xml:space="preserve">(поранення,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w:t>
            </w:r>
            <w:r>
              <w:rPr>
                <w:rFonts w:eastAsia="Times New Roman" w:cs="Times New Roman" w:ascii="Times New Roman" w:hAnsi="Times New Roman"/>
                <w:i/>
                <w:color w:val="0D0D0D" w:themeColor="text1" w:themeTint="f2"/>
                <w:sz w:val="27"/>
                <w:szCs w:val="27"/>
              </w:rPr>
              <w:t>(пункт 16 частини другої статті 7 Закону):</w:t>
            </w:r>
          </w:p>
          <w:p>
            <w:pPr>
              <w:pStyle w:val="Normal"/>
              <w:keepNext w:val="true"/>
              <w:widowControl w:val="false"/>
              <w:ind w:firstLine="567"/>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 витягу з рішення експертної команди з оцінювання повсякденного функціонування особи або довідки медико-соціальної експертної комісії</w:t>
            </w:r>
            <w:r>
              <w:rPr>
                <w:rFonts w:eastAsia="Times New Roman" w:cs="Times New Roman" w:ascii="Times New Roman" w:hAnsi="Times New Roman"/>
                <w:color w:val="0D0D0D" w:themeColor="text1" w:themeTint="f2"/>
                <w:sz w:val="27"/>
                <w:szCs w:val="27"/>
              </w:rPr>
              <w:t>;</w:t>
            </w:r>
          </w:p>
          <w:p>
            <w:pPr>
              <w:pStyle w:val="Normal"/>
              <w:keepNext w:val="true"/>
              <w:widowControl w:val="false"/>
              <w:spacing w:before="0" w:after="240"/>
              <w:ind w:firstLine="567"/>
              <w:jc w:val="both"/>
              <w:rPr>
                <w:rFonts w:ascii="Times New Roman" w:hAnsi="Times New Roman" w:cs="Times New Roman"/>
                <w:color w:val="0D0D0D"/>
                <w:sz w:val="27"/>
                <w:szCs w:val="27"/>
                <w:shd w:fill="FFFFFF" w:val="clear"/>
              </w:rPr>
            </w:pPr>
            <w:r>
              <w:rPr>
                <w:rFonts w:cs="Times New Roman" w:ascii="Times New Roman" w:hAnsi="Times New Roman"/>
                <w:color w:val="0D0D0D" w:themeColor="text1" w:themeTint="f2"/>
                <w:sz w:val="27"/>
                <w:szCs w:val="27"/>
                <w:shd w:fill="FFFFFF" w:val="clear"/>
              </w:rPr>
              <w:t xml:space="preserve">-  довідки за формою згідно з додатком 6 до Порядку </w:t>
            </w:r>
            <w:r>
              <w:rPr>
                <w:rFonts w:eastAsia="Times New Roman" w:cs="Times New Roman" w:ascii="Times New Roman" w:hAnsi="Times New Roman"/>
                <w:color w:val="0D0D0D" w:themeColor="text1" w:themeTint="f2"/>
                <w:sz w:val="27"/>
                <w:szCs w:val="27"/>
              </w:rPr>
              <w:t>№</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413</w:t>
            </w:r>
            <w:r>
              <w:rPr>
                <w:rFonts w:cs="Times New Roman" w:ascii="Times New Roman" w:hAnsi="Times New Roman"/>
                <w:color w:val="0D0D0D" w:themeColor="text1" w:themeTint="f2"/>
                <w:sz w:val="27"/>
                <w:szCs w:val="27"/>
                <w:shd w:fill="FFFFFF" w:val="clear"/>
              </w:rPr>
              <w:t>, виданої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архіву, іншої архівної установи, яка містить достатні докази про безпосередню участь особи у зазначених заходах,</w:t>
            </w:r>
            <w:r>
              <w:rPr>
                <w:rFonts w:eastAsia="Times New Roman"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pacing w:val="-4"/>
                <w:sz w:val="27"/>
                <w:szCs w:val="27"/>
              </w:rPr>
              <w:t xml:space="preserve">– </w:t>
            </w:r>
            <w:r>
              <w:rPr>
                <w:rFonts w:cs="Times New Roman" w:ascii="Times New Roman" w:hAnsi="Times New Roman"/>
                <w:color w:val="0D0D0D" w:themeColor="text1" w:themeTint="f2"/>
                <w:sz w:val="27"/>
                <w:szCs w:val="27"/>
                <w:shd w:fill="FFFFFF" w:val="clear"/>
              </w:rPr>
              <w:t>у разі коли військову частину (орган, підрозділ) розформовано.</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Примітка:</w:t>
            </w:r>
          </w:p>
          <w:p>
            <w:pPr>
              <w:pStyle w:val="Normal"/>
              <w:keepNext w:val="true"/>
              <w:keepLines/>
              <w:widowControl w:val="false"/>
              <w:jc w:val="both"/>
              <w:rPr>
                <w:rFonts w:ascii="Times New Roman" w:hAnsi="Times New Roman" w:eastAsia="Times New Roman" w:cs="Times New Roman"/>
                <w:i/>
                <w:i/>
                <w:iCs/>
                <w:color w:val="0D0D0D"/>
                <w:sz w:val="27"/>
                <w:szCs w:val="27"/>
              </w:rPr>
            </w:pPr>
            <w:r>
              <w:rPr>
                <w:rFonts w:eastAsia="Times New Roman"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rHeight w:val="1131" w:hRule="atLeast"/>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shd w:fill="FFFFFF" w:val="clear"/>
              </w:rPr>
              <w:t>Рішення про надання (відмову у наданні) статусу особи з інвалідністю внаслідок війни</w:t>
            </w:r>
            <w:r>
              <w:rPr>
                <w:rFonts w:eastAsia="Times New Roman" w:cs="Times New Roman" w:ascii="Times New Roman" w:hAnsi="Times New Roman"/>
                <w:color w:val="0D0D0D" w:themeColor="text1" w:themeTint="f2"/>
                <w:sz w:val="27"/>
                <w:szCs w:val="27"/>
              </w:rPr>
              <w:t xml:space="preserve"> – 30 календарних днів</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Управління соціального захисту населення відмовляє заявнику у наданні статусу особи з інвалідністю внаслідок війни у разі:</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  відсутності необхідних документів;</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  подання неправдивих відомостей;</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  виявлення підробок у поданих документах;</w:t>
            </w:r>
          </w:p>
          <w:p>
            <w:pPr>
              <w:pStyle w:val="Normal"/>
              <w:widowControl w:val="false"/>
              <w:tabs>
                <w:tab w:val="clear" w:pos="720"/>
                <w:tab w:val="left" w:pos="1565" w:leader="none"/>
              </w:tabs>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4) </w:t>
            </w:r>
            <w:r>
              <w:rPr>
                <w:rFonts w:cs="Times New Roman" w:ascii="Times New Roman" w:hAnsi="Times New Roman"/>
                <w:color w:val="0D0D0D" w:themeColor="text1" w:themeTint="f2"/>
                <w:sz w:val="27"/>
                <w:szCs w:val="27"/>
                <w:shd w:fill="FFFFFF" w:val="clear"/>
              </w:rPr>
              <w:t>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r>
              <w:rPr>
                <w:rFonts w:eastAsia="Times New Roman" w:cs="Times New Roman" w:ascii="Times New Roman" w:hAnsi="Times New Roman"/>
                <w:color w:val="0D0D0D" w:themeColor="text1" w:themeTint="f2"/>
                <w:sz w:val="27"/>
                <w:szCs w:val="27"/>
              </w:rPr>
              <w:t>;</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rFonts w:eastAsia="Times New Roman" w:cs="Times New Roman" w:ascii="Times New Roman" w:hAnsi="Times New Roman"/>
                <w:color w:val="0D0D0D" w:themeColor="text1" w:themeTint="f2"/>
                <w:sz w:val="27"/>
                <w:szCs w:val="27"/>
              </w:rPr>
              <w:t>.</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755" w:type="dxa"/>
            <w:tcBorders>
              <w:top w:val="single" w:sz="6" w:space="0" w:color="000000"/>
              <w:left w:val="single" w:sz="6" w:space="0" w:color="000000"/>
              <w:bottom w:val="single" w:sz="6" w:space="0" w:color="000000"/>
              <w:right w:val="single" w:sz="6" w:space="0" w:color="000000"/>
            </w:tcBorders>
          </w:tcPr>
          <w:p>
            <w:pPr>
              <w:pStyle w:val="Rvps2"/>
              <w:widowControl w:val="false"/>
              <w:shd w:val="clear" w:color="auto" w:fill="FFFFFF"/>
              <w:spacing w:beforeAutospacing="0" w:before="0" w:afterAutospacing="0" w:after="0"/>
              <w:jc w:val="both"/>
              <w:rPr>
                <w:color w:val="0D0D0D"/>
                <w:sz w:val="27"/>
                <w:szCs w:val="27"/>
              </w:rPr>
            </w:pPr>
            <w:r>
              <w:rPr>
                <w:color w:val="0D0D0D" w:themeColor="text1" w:themeTint="f2"/>
                <w:sz w:val="27"/>
                <w:szCs w:val="27"/>
              </w:rPr>
              <w:t>Повідомлення про надання або відмову у наданні статусу особи з інвалідністю внаслідок війни</w:t>
            </w:r>
          </w:p>
        </w:tc>
      </w:tr>
      <w:tr>
        <w:trPr/>
        <w:tc>
          <w:tcPr>
            <w:tcW w:w="635"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750"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75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spacing w:before="240" w:after="240"/>
        <w:jc w:val="both"/>
        <w:rPr>
          <w:rFonts w:ascii="Times New Roman" w:hAnsi="Times New Roman" w:cs="Times New Roman"/>
          <w:color w:val="0D0D0D"/>
          <w:sz w:val="27"/>
          <w:szCs w:val="27"/>
          <w:shd w:fill="FFFFFF" w:val="clear"/>
        </w:rPr>
      </w:pPr>
      <w:r>
        <w:rPr>
          <w:rFonts w:eastAsia="Times New Roman" w:cs="Times New Roman" w:ascii="Times New Roman" w:hAnsi="Times New Roman"/>
          <w:bCs/>
          <w:color w:val="0D0D0D"/>
          <w:sz w:val="27"/>
          <w:szCs w:val="27"/>
        </w:rPr>
      </w:r>
    </w:p>
    <w:p>
      <w:pPr>
        <w:pStyle w:val="Normal"/>
        <w:jc w:val="both"/>
        <w:rPr>
          <w:rFonts w:ascii="Times New Roman" w:hAnsi="Times New Roman" w:eastAsia="Times New Roman" w:cs="Times New Roman"/>
          <w:bCs/>
          <w:color w:val="0D0D0D"/>
          <w:sz w:val="27"/>
          <w:szCs w:val="27"/>
        </w:rPr>
      </w:pPr>
      <w:r>
        <w:rPr/>
      </w:r>
    </w:p>
    <w:sectPr>
      <w:headerReference w:type="even" r:id="rId3"/>
      <w:headerReference w:type="default" r:id="rId4"/>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13" w:leader="none"/>
        <w:tab w:val="right" w:pos="9026" w:leader="none"/>
      </w:tabs>
      <w:jc w:val="center"/>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Normal"/>
      <w:tabs>
        <w:tab w:val="clear" w:pos="720"/>
        <w:tab w:val="center" w:pos="4513" w:leader="none"/>
        <w:tab w:val="right" w:pos="9026" w:leader="none"/>
      </w:tabs>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46" w:customStyle="1">
    <w:name w:val="rvts46"/>
    <w:basedOn w:val="DefaultParagraphFont"/>
    <w:qFormat/>
    <w:rsid w:val="00134323"/>
    <w:rPr/>
  </w:style>
  <w:style w:type="character" w:styleId="Style8">
    <w:name w:val="Hyperlink"/>
    <w:basedOn w:val="DefaultParagraphFont"/>
    <w:uiPriority w:val="99"/>
    <w:semiHidden/>
    <w:unhideWhenUsed/>
    <w:rsid w:val="00134323"/>
    <w:rPr>
      <w:color w:val="0000FF"/>
      <w:u w:val="single"/>
    </w:rPr>
  </w:style>
  <w:style w:type="character" w:styleId="Spanrvts0" w:customStyle="1">
    <w:name w:val="span_rvts0"/>
    <w:basedOn w:val="DefaultParagraphFont"/>
    <w:qFormat/>
    <w:rsid w:val="002b016e"/>
    <w:rPr>
      <w:rFonts w:ascii="Times New Roman" w:hAnsi="Times New Roman" w:cs="Times New Roman"/>
      <w:sz w:val="24"/>
      <w:szCs w:val="24"/>
    </w:rPr>
  </w:style>
  <w:style w:type="paragraph" w:styleId="Style9">
    <w:name w:val="Заголовок"/>
    <w:basedOn w:val="Normal"/>
    <w:next w:val="Style10"/>
    <w:qFormat/>
    <w:pPr>
      <w:keepNext w:val="true"/>
      <w:spacing w:before="240" w:after="120"/>
    </w:pPr>
    <w:rPr>
      <w:rFonts w:ascii="Liberation Sans" w:hAnsi="Liberation Sans" w:eastAsia="Microsoft YaHei" w:cs="Mang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Mangal"/>
    </w:rPr>
  </w:style>
  <w:style w:type="paragraph" w:styleId="Style12">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Mangal"/>
    </w:rPr>
  </w:style>
  <w:style w:type="paragraph" w:styleId="Style14">
    <w:name w:val="Title"/>
    <w:basedOn w:val="Normal"/>
    <w:next w:val="Normal"/>
    <w:uiPriority w:val="10"/>
    <w:qFormat/>
    <w:pPr>
      <w:keepNext w:val="true"/>
      <w:keepLines/>
      <w:spacing w:before="480" w:after="120"/>
    </w:pPr>
    <w:rPr>
      <w:b/>
      <w:sz w:val="72"/>
      <w:szCs w:val="72"/>
    </w:rPr>
  </w:style>
  <w:style w:type="paragraph" w:styleId="Style15">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12dca"/>
    <w:pPr>
      <w:spacing w:before="0" w:after="0"/>
      <w:ind w:left="720" w:hanging="0"/>
      <w:contextualSpacing/>
    </w:pPr>
    <w:rPr/>
  </w:style>
  <w:style w:type="paragraph" w:styleId="Rvps2" w:customStyle="1">
    <w:name w:val="rvps2"/>
    <w:basedOn w:val="Normal"/>
    <w:qFormat/>
    <w:rsid w:val="00134323"/>
    <w:pPr>
      <w:spacing w:beforeAutospacing="1" w:afterAutospacing="1"/>
    </w:pPr>
    <w:rPr>
      <w:rFonts w:ascii="Times New Roman" w:hAnsi="Times New Roman" w:eastAsia="Times New Roman" w:cs="Times New Roman"/>
    </w:rPr>
  </w:style>
  <w:style w:type="paragraph" w:styleId="Style16">
    <w:name w:val="Колонтитул"/>
    <w:basedOn w:val="Normal"/>
    <w:qFormat/>
    <w:pPr/>
    <w:rPr/>
  </w:style>
  <w:style w:type="paragraph" w:styleId="Style17">
    <w:name w:val="Header"/>
    <w:basedOn w:val="Style16"/>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Application>LibreOffice/7.4.5.1$Windows_X86_64 LibreOffice_project/9c0871452b3918c1019dde9bfac75448afc4b57f</Application>
  <AppVersion>15.0000</AppVersion>
  <Pages>13</Pages>
  <Words>3218</Words>
  <Characters>22740</Characters>
  <CharactersWithSpaces>25922</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2025-09-19T09:56:00Z</dcterms:created>
  <dc:creator>Павленко Інна Анатоліївна</dc:creator>
  <dc:description/>
  <dc:language>ru-RU</dc:language>
  <cp:lastModifiedBy/>
  <dcterms:modified xsi:type="dcterms:W3CDTF">2025-12-17T14:40:21Z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