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ЗАТВЕРДЖЕНО</w:t>
        <w:tab/>
        <w:tab/>
        <w:tab/>
        <w:tab/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Наказ начальника управління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соціального захисту населення Первомайської районної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військової адміністрації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eastAsia="Times New Roman" w:cs="TimesNewRomanPSMT" w:ascii="TimesNewRomanPSMT" w:hAnsi="TimesNewRomanPSMT"/>
          <w:color w:val="0D0D0D"/>
          <w:sz w:val="27"/>
          <w:szCs w:val="27"/>
        </w:rPr>
        <w:t>від  08.12.2025 року № 53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ІНФОРМАЦІЙНА КАРТКА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D0D0D"/>
          <w:sz w:val="27"/>
          <w:szCs w:val="27"/>
        </w:rPr>
      </w:pPr>
      <w:bookmarkStart w:id="0" w:name="bookmark=id.gjdgxs"/>
      <w:bookmarkEnd w:id="0"/>
      <w:r>
        <w:rPr>
          <w:rFonts w:cs="Times New Roman" w:ascii="Times New Roman" w:hAnsi="Times New Roman"/>
          <w:b/>
          <w:bCs/>
          <w:color w:val="0D0D0D" w:themeColor="text1" w:themeTint="f2"/>
          <w:sz w:val="27"/>
          <w:szCs w:val="27"/>
        </w:rPr>
        <w:t>Встановлення статусу постраждалого учасника Революції Гідності, видача посвідчення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D0D0D" w:themeColor="text1" w:themeTint="f2"/>
          <w:sz w:val="27"/>
          <w:szCs w:val="27"/>
          <w:u w:val="single"/>
        </w:rPr>
        <w:t>Управління соціального захисту населення Первомайської районної військової адміністрації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color w:val="0D0D0D" w:themeColor="text1" w:themeTint="f2"/>
          <w:sz w:val="27"/>
          <w:szCs w:val="27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f2"/>
        <w:tblW w:w="10260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1"/>
        <w:gridCol w:w="2580"/>
        <w:gridCol w:w="7039"/>
      </w:tblGrid>
      <w:tr>
        <w:trPr/>
        <w:tc>
          <w:tcPr>
            <w:tcW w:w="10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bookmarkStart w:id="1" w:name="bookmark=id.30j0zll"/>
            <w:bookmarkEnd w:id="1"/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Інформація про суб’єкт надання адміністративної послуги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та/або центр надання адміністративних послуг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Місцезнаходження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м. Первомайськ, вул. Київська, 50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Арбузинка пров. Каштановий, 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Криве Озеро вул. Шевченка, 57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Врадіївка вул. Героїв Врадіївщини, 118</w:t>
            </w:r>
          </w:p>
        </w:tc>
      </w:tr>
      <w:tr>
        <w:trPr>
          <w:trHeight w:val="542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Понеділок-четвер з 8.00 до 17.00;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П’ятниця з 8.00 до 15.45;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Обідня перерва з 12.00 до 12.45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Вихідний: субота, неділя.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тел. (098)4194501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sz w:val="27"/>
                <w:szCs w:val="27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ел. адреса: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pray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dszn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mk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gov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ua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вебсайт:</w:t>
            </w:r>
            <w:r>
              <w:rPr>
                <w:rFonts w:eastAsia="Calibri" w:cs="" w:ascii="Calibri" w:hAnsi="Calibri"/>
                <w:kern w:val="0"/>
                <w:sz w:val="27"/>
                <w:szCs w:val="27"/>
                <w:lang w:val="uk-UA" w:eastAsia="en-US" w:bidi="ar-SA"/>
              </w:rPr>
              <w:t xml:space="preserve"> </w:t>
            </w:r>
            <w:hyperlink r:id="rId2"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https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://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pervomaysk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mk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gov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/1497504906/1497503257/</w:t>
              </w:r>
            </w:hyperlink>
          </w:p>
        </w:tc>
      </w:tr>
      <w:tr>
        <w:trPr/>
        <w:tc>
          <w:tcPr>
            <w:tcW w:w="10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323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Закони України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статус ветеранів війни, гарантії їх соціального захисту”</w:t>
            </w:r>
          </w:p>
          <w:p>
            <w:pPr>
              <w:pStyle w:val="Normal"/>
              <w:widowControl w:val="false"/>
              <w:spacing w:before="114" w:after="126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адміністративну процедуру”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адміністративні послуги”</w:t>
            </w:r>
          </w:p>
        </w:tc>
      </w:tr>
      <w:tr>
        <w:trPr>
          <w:trHeight w:val="88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Постанова Кабінету Міністрів України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від 28.02.2018 №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119 “Деякі питання соціального захисту постраждалих учасників Революції Гідності”</w:t>
            </w:r>
          </w:p>
        </w:tc>
      </w:tr>
      <w:tr>
        <w:trPr>
          <w:trHeight w:val="313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</w:tr>
      <w:tr>
        <w:trPr/>
        <w:tc>
          <w:tcPr>
            <w:tcW w:w="10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Підстава для отримання адміністративної послуги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Звернення особи, яку включено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</w:tbl>
    <w:tbl>
      <w:tblPr>
        <w:tblStyle w:val="af3"/>
        <w:tblW w:w="10260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1"/>
        <w:gridCol w:w="2580"/>
        <w:gridCol w:w="7039"/>
      </w:tblGrid>
      <w:tr>
        <w:trPr/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12"/>
              <w:jc w:val="both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 xml:space="preserve">До управління соціального захисту населення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</w:t>
            </w:r>
            <w:r>
              <w:rPr>
                <w:rFonts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 xml:space="preserve">особи, які включені до переліку осіб </w:t>
            </w: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подають:</w:t>
            </w:r>
          </w:p>
          <w:p>
            <w:pPr>
              <w:pStyle w:val="Normal"/>
              <w:keepNext w:val="true"/>
              <w:widowControl w:val="false"/>
              <w:ind w:firstLine="567"/>
              <w:jc w:val="both"/>
              <w:rPr>
                <w:rFonts w:ascii="Times New Roman" w:hAnsi="Times New Roman" w:cs="Times New Roman"/>
                <w:bCs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1)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заяву довільної форми про надання статусу п</w:t>
            </w:r>
            <w:r>
              <w:rPr>
                <w:rFonts w:eastAsia="Times New Roman"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остраждалого учасника Революції Гідності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;</w:t>
            </w:r>
          </w:p>
          <w:p>
            <w:pPr>
              <w:pStyle w:val="Normal"/>
              <w:keepNext w:val="true"/>
              <w:widowControl w:val="false"/>
              <w:spacing w:before="0" w:after="240"/>
              <w:ind w:firstLine="567"/>
              <w:jc w:val="both"/>
              <w:rPr>
                <w:rFonts w:ascii="Times New Roman" w:hAnsi="Times New Roman" w:cs="Times New Roman"/>
                <w:bCs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2)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  <w:p>
            <w:pPr>
              <w:pStyle w:val="Normal"/>
              <w:keepNext w:val="true"/>
              <w:widowControl w:val="false"/>
              <w:spacing w:before="0" w:after="24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Для отримання посвідчення “Постраждалий учасник Революції Гідності” в заяві </w:t>
            </w:r>
            <w:r>
              <w:rPr>
                <w:rFonts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>про надання статусу 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>остраждалого учасника Революції Гідності</w:t>
            </w:r>
            <w:r>
              <w:rPr>
                <w:rFonts w:cs="Times New Roman" w:ascii="Times New Roman" w:hAnsi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зазначається спосіб отримання посвідчення, (за місцем оформлення посвідчення </w:t>
            </w:r>
            <w:r>
              <w:rPr>
                <w:rFonts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>(повне найменування та місцезнаходження управління соціального захисту населення)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Tint="f2"/>
                <w:sz w:val="27"/>
                <w:szCs w:val="27"/>
              </w:rPr>
              <w:t xml:space="preserve"> та додаються:</w:t>
            </w:r>
          </w:p>
          <w:p>
            <w:pPr>
              <w:pStyle w:val="ListParagraph"/>
              <w:keepNext w:val="true"/>
              <w:widowControl w:val="false"/>
              <w:ind w:left="0" w:firstLine="567"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1)</w:t>
            </w:r>
            <w:r>
              <w:rPr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color w:val="0D0D0D" w:themeColor="text1" w:themeTint="f2"/>
                <w:sz w:val="27"/>
                <w:szCs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>
            <w:pPr>
              <w:pStyle w:val="ListParagraph"/>
              <w:keepNext w:val="true"/>
              <w:widowControl w:val="false"/>
              <w:spacing w:before="0" w:after="240"/>
              <w:ind w:left="0" w:firstLine="567"/>
              <w:contextualSpacing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2)</w:t>
            </w:r>
            <w:r>
              <w:rPr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color w:val="0D0D0D" w:themeColor="text1" w:themeTint="f2"/>
                <w:sz w:val="27"/>
                <w:szCs w:val="27"/>
              </w:rPr>
              <w:t>фотокартка розміром 3х4 сантиметри.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D0D0D" w:themeColor="text1" w:themeTint="f2"/>
                <w:sz w:val="27"/>
                <w:szCs w:val="27"/>
              </w:rPr>
              <w:t>Примітка: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D0D0D" w:themeColor="text1" w:themeTint="f2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>
            <w:pPr>
              <w:pStyle w:val="Normal"/>
              <w:widowControl w:val="false"/>
              <w:ind w:hanging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 w:themeTint="f2"/>
                <w:spacing w:val="-4"/>
                <w:sz w:val="27"/>
                <w:szCs w:val="27"/>
                <w:shd w:fill="FFFFFF" w:val="clear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 w:themeTint="f2"/>
                <w:spacing w:val="-4"/>
                <w:sz w:val="27"/>
                <w:szCs w:val="27"/>
              </w:rPr>
              <w:t>Безпосередньо управлінню соціального зах</w:t>
            </w:r>
            <w:r>
              <w:rPr>
                <w:rFonts w:eastAsia="Times New Roman" w:cs="Times New Roman" w:ascii="Times New Roman" w:hAnsi="Times New Roman"/>
                <w:color w:val="000000" w:themeTint="f2"/>
                <w:spacing w:val="-4"/>
                <w:sz w:val="27"/>
                <w:szCs w:val="27"/>
              </w:rPr>
              <w:t>ис</w:t>
            </w:r>
            <w:r>
              <w:rPr>
                <w:rFonts w:eastAsia="Times New Roman" w:cs="Times New Roman" w:ascii="Times New Roman" w:hAnsi="Times New Roman"/>
                <w:color w:val="000000" w:themeTint="f2"/>
                <w:spacing w:val="-4"/>
                <w:sz w:val="27"/>
                <w:szCs w:val="27"/>
              </w:rPr>
              <w:t>ту населення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Безоплатно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58" w:leader="none"/>
                <w:tab w:val="left" w:pos="449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2"/>
              <w:widowControl w:val="false"/>
              <w:shd w:val="clear" w:color="auto" w:fill="FFFFFF"/>
              <w:spacing w:before="0" w:afterAutospacing="0" w:after="0"/>
              <w:jc w:val="both"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Повідомлення про надання/відмову у наданні статусу постраждалого учасника Революції Гідності.</w:t>
            </w:r>
          </w:p>
          <w:p>
            <w:pPr>
              <w:pStyle w:val="Rvps2"/>
              <w:widowControl w:val="false"/>
              <w:shd w:val="clear" w:color="auto" w:fill="FFFFFF"/>
              <w:spacing w:before="0" w:afterAutospacing="0" w:after="0"/>
              <w:jc w:val="both"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Посвідченн</w:t>
            </w:r>
            <w:bookmarkStart w:id="2" w:name="3znysh7"/>
            <w:bookmarkEnd w:id="2"/>
            <w:r>
              <w:rPr>
                <w:color w:val="0D0D0D" w:themeColor="text1" w:themeTint="f2"/>
                <w:sz w:val="27"/>
                <w:szCs w:val="27"/>
              </w:rPr>
              <w:t>я постраждалого учасника Революції Гідності (за бажанням заявника).</w:t>
            </w:r>
          </w:p>
        </w:tc>
      </w:tr>
      <w:tr>
        <w:trPr/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1. Особисто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2. Через уповноважену особу</w:t>
            </w:r>
          </w:p>
        </w:tc>
      </w:tr>
    </w:tbl>
    <w:p>
      <w:pPr>
        <w:pStyle w:val="Normal"/>
        <w:widowControl/>
        <w:bidi w:val="0"/>
        <w:spacing w:before="240" w:after="0"/>
        <w:ind w:left="0" w:right="-454" w:hanging="0"/>
        <w:jc w:val="both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/>
      </w:r>
    </w:p>
    <w:sectPr>
      <w:headerReference w:type="default" r:id="rId3"/>
      <w:type w:val="nextPage"/>
      <w:pgSz w:w="11906" w:h="16838"/>
      <w:pgMar w:left="1276" w:right="851" w:gutter="0" w:header="709" w:top="1134" w:footer="0" w:bottom="1276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Bookman Old Style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uk-UA" w:eastAsia="uk-UA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spacing w:before="140" w:after="120"/>
      <w:outlineLvl w:val="2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Hyperlink"/>
    <w:basedOn w:val="DefaultParagraphFont"/>
    <w:uiPriority w:val="99"/>
    <w:rsid w:val="00b45e80"/>
    <w:rPr>
      <w:rFonts w:cs="Times New Roman"/>
      <w:color w:val="0000FF"/>
      <w:u w:val="single"/>
    </w:rPr>
  </w:style>
  <w:style w:type="character" w:styleId="Rvts46" w:customStyle="1">
    <w:name w:val="rvts46"/>
    <w:uiPriority w:val="99"/>
    <w:qFormat/>
    <w:rsid w:val="00b45e8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2259d"/>
    <w:rPr>
      <w:sz w:val="16"/>
      <w:szCs w:val="16"/>
    </w:rPr>
  </w:style>
  <w:style w:type="character" w:styleId="Style9" w:customStyle="1">
    <w:name w:val="Текст примітки Знак"/>
    <w:basedOn w:val="DefaultParagraphFont"/>
    <w:link w:val="Annotationtext"/>
    <w:uiPriority w:val="99"/>
    <w:semiHidden/>
    <w:qFormat/>
    <w:rsid w:val="0072259d"/>
    <w:rPr>
      <w:sz w:val="20"/>
      <w:szCs w:val="20"/>
    </w:rPr>
  </w:style>
  <w:style w:type="character" w:styleId="Style10" w:customStyle="1">
    <w:name w:val="Тема примітки Знак"/>
    <w:basedOn w:val="Style9"/>
    <w:link w:val="Annotationsubject"/>
    <w:uiPriority w:val="99"/>
    <w:semiHidden/>
    <w:qFormat/>
    <w:rsid w:val="0072259d"/>
    <w:rPr>
      <w:b/>
      <w:bCs/>
      <w:sz w:val="20"/>
      <w:szCs w:val="20"/>
    </w:rPr>
  </w:style>
  <w:style w:type="character" w:styleId="Style11" w:customStyle="1">
    <w:name w:val="Текст у виносці Знак"/>
    <w:basedOn w:val="DefaultParagraphFont"/>
    <w:link w:val="BalloonText"/>
    <w:uiPriority w:val="99"/>
    <w:semiHidden/>
    <w:qFormat/>
    <w:rsid w:val="0072259d"/>
    <w:rPr>
      <w:rFonts w:ascii="Segoe UI" w:hAnsi="Segoe UI" w:cs="Segoe UI"/>
      <w:sz w:val="18"/>
      <w:szCs w:val="18"/>
    </w:rPr>
  </w:style>
  <w:style w:type="character" w:styleId="Style12" w:customStyle="1">
    <w:name w:val="Верхній колонтитул Знак"/>
    <w:basedOn w:val="DefaultParagraphFont"/>
    <w:uiPriority w:val="99"/>
    <w:qFormat/>
    <w:rsid w:val="00ed0f7d"/>
    <w:rPr/>
  </w:style>
  <w:style w:type="character" w:styleId="Style13" w:customStyle="1">
    <w:name w:val="Нижній колонтитул Знак"/>
    <w:basedOn w:val="DefaultParagraphFont"/>
    <w:uiPriority w:val="99"/>
    <w:qFormat/>
    <w:rsid w:val="00ed0f7d"/>
    <w:rPr/>
  </w:style>
  <w:style w:type="character" w:styleId="Style14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1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45e80"/>
    <w:pPr>
      <w:spacing w:before="0" w:after="0"/>
      <w:ind w:left="720" w:hanging="0"/>
      <w:contextualSpacing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Rvps2" w:customStyle="1">
    <w:name w:val="rvps2"/>
    <w:basedOn w:val="Normal"/>
    <w:qFormat/>
    <w:rsid w:val="00b45e80"/>
    <w:pPr>
      <w:spacing w:before="0" w:afterAutospacing="1"/>
    </w:pPr>
    <w:rPr>
      <w:rFonts w:ascii="Times New Roman" w:hAnsi="Times New Roman" w:eastAsia="Times New Roman" w:cs="Times New Roman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7225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72259d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72259d"/>
    <w:pPr/>
    <w:rPr>
      <w:rFonts w:ascii="Segoe UI" w:hAnsi="Segoe UI" w:cs="Segoe UI"/>
      <w:sz w:val="18"/>
      <w:szCs w:val="18"/>
    </w:rPr>
  </w:style>
  <w:style w:type="paragraph" w:styleId="Tl" w:customStyle="1">
    <w:name w:val="tl"/>
    <w:basedOn w:val="Normal"/>
    <w:qFormat/>
    <w:rsid w:val="009e4118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unhideWhenUsed/>
    <w:rsid w:val="00ed0f7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3"/>
    <w:uiPriority w:val="99"/>
    <w:unhideWhenUsed/>
    <w:rsid w:val="00ed0f7d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vomaysk.mk.gov.ua/ua/1497504906/1497503257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Fj7+UxgEm2PzCokaKiD8XghuIA==">CgMxLjAyCWlkLmdqZGd4czIKaWQuMzBqMHpsbDIKaWQuMmV0OTJwMDIKaWQuM3pueXNoNzIJaC4yZXQ5MnAwOAByITFXd09PS2YyV0FlY2ZfTElyUEdrQ0NYZWVGLUtrc2EtWQ==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LibreOffice/7.4.5.1$Windows_X86_64 LibreOffice_project/9c0871452b3918c1019dde9bfac75448afc4b57f</Application>
  <AppVersion>15.0000</AppVersion>
  <Pages>3</Pages>
  <Words>496</Words>
  <Characters>3651</Characters>
  <CharactersWithSpaces>4081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2025-06-19T08:19:00Z</dcterms:created>
  <dc:creator>Ira Shamraeva</dc:creator>
  <dc:description/>
  <dc:language>ru-RU</dc:language>
  <cp:lastModifiedBy/>
  <dcterms:modified xsi:type="dcterms:W3CDTF">2025-12-17T14:41:21Z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