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eastAsia="Times New Roman" w:cs="TimesNewRomanPSMT"/>
        </w:rPr>
      </w:pPr>
      <w:r>
        <w:rPr>
          <w:rFonts w:eastAsia="Times New Roman" w:cs="TimesNewRomanPSMT" w:ascii="TimesNewRomanPSMT" w:hAnsi="TimesNewRomanPSMT"/>
          <w:sz w:val="27"/>
          <w:szCs w:val="27"/>
        </w:rPr>
        <w:t>від  08.12.2025 року № 53</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jc w:val="both"/>
        <w:rPr>
          <w:rFonts w:ascii="Times New Roman" w:hAnsi="Times New Roman"/>
          <w:bCs/>
          <w:color w:val="0D0D0D"/>
          <w:sz w:val="27"/>
          <w:szCs w:val="27"/>
        </w:rPr>
      </w:pPr>
      <w:r>
        <w:rPr>
          <w:rFonts w:ascii="Times New Roman" w:hAnsi="Times New Roman"/>
          <w:bCs/>
          <w:color w:val="0D0D0D"/>
          <w:sz w:val="27"/>
          <w:szCs w:val="27"/>
        </w:rPr>
      </w:r>
    </w:p>
    <w:p>
      <w:pPr>
        <w:pStyle w:val="Normal"/>
        <w:jc w:val="center"/>
        <w:rPr>
          <w:rFonts w:ascii="Times New Roman" w:hAnsi="Times New Roman"/>
          <w:b/>
          <w:b/>
          <w:color w:val="0D0D0D"/>
          <w:sz w:val="27"/>
          <w:szCs w:val="27"/>
        </w:rPr>
      </w:pPr>
      <w:r>
        <w:rPr>
          <w:rFonts w:ascii="Times New Roman" w:hAnsi="Times New Roman"/>
          <w:b/>
          <w:color w:val="0D0D0D" w:themeColor="text1" w:themeTint="f2"/>
          <w:sz w:val="27"/>
          <w:szCs w:val="27"/>
        </w:rPr>
        <w:t xml:space="preserve"> </w:t>
      </w:r>
      <w:r>
        <w:rPr>
          <w:rFonts w:ascii="Times New Roman" w:hAnsi="Times New Roman"/>
          <w:b/>
          <w:color w:val="0D0D0D" w:themeColor="text1" w:themeTint="f2"/>
          <w:sz w:val="27"/>
          <w:szCs w:val="27"/>
        </w:rPr>
        <w:t>ІНФОРМАЦІЙНА КАРТКА</w:t>
      </w:r>
    </w:p>
    <w:p>
      <w:pPr>
        <w:pStyle w:val="Normal"/>
        <w:jc w:val="center"/>
        <w:rPr>
          <w:rFonts w:ascii="Times New Roman" w:hAnsi="Times New Roman"/>
          <w:b/>
          <w:b/>
          <w:color w:val="0D0D0D"/>
          <w:sz w:val="27"/>
          <w:szCs w:val="27"/>
        </w:rPr>
      </w:pPr>
      <w:r>
        <w:rPr>
          <w:rFonts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b/>
          <w:b/>
          <w:color w:val="0D0D0D"/>
          <w:sz w:val="27"/>
          <w:szCs w:val="27"/>
        </w:rPr>
      </w:pPr>
      <w:bookmarkStart w:id="0" w:name="_Hlk201331417"/>
      <w:bookmarkStart w:id="1" w:name="bookmark=id.gjdgxs"/>
      <w:bookmarkEnd w:id="1"/>
      <w:r>
        <w:rPr>
          <w:rFonts w:ascii="Times New Roman" w:hAnsi="Times New Roman"/>
          <w:b/>
          <w:color w:val="0D0D0D" w:themeColor="text1" w:themeTint="f2"/>
          <w:sz w:val="27"/>
          <w:szCs w:val="27"/>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w:t>
      </w:r>
      <w:bookmarkEnd w:id="0"/>
      <w:r>
        <w:rPr>
          <w:rFonts w:ascii="Times New Roman" w:hAnsi="Times New Roman"/>
          <w:b/>
          <w:color w:val="0D0D0D" w:themeColor="text1" w:themeTint="f2"/>
          <w:sz w:val="27"/>
          <w:szCs w:val="27"/>
        </w:rPr>
        <w:t>нь</w:t>
      </w:r>
    </w:p>
    <w:p>
      <w:pPr>
        <w:pStyle w:val="Normal"/>
        <w:jc w:val="center"/>
        <w:rPr>
          <w:rFonts w:ascii="Times New Roman" w:hAnsi="Times New Roman"/>
          <w:b/>
          <w:b/>
          <w:color w:val="0D0D0D"/>
          <w:sz w:val="27"/>
          <w:szCs w:val="27"/>
        </w:rPr>
      </w:pPr>
      <w:r>
        <w:rPr>
          <w:rFonts w:ascii="Times New Roman" w:hAnsi="Times New Roman"/>
          <w:b/>
          <w:color w:val="0D0D0D"/>
          <w:sz w:val="27"/>
          <w:szCs w:val="27"/>
        </w:rPr>
      </w:r>
    </w:p>
    <w:p>
      <w:pPr>
        <w:pStyle w:val="Normal"/>
        <w:jc w:val="center"/>
        <w:rPr>
          <w:rFonts w:ascii="Times New Roman" w:hAnsi="Times New Roman"/>
          <w:color w:val="0D0D0D"/>
          <w:sz w:val="27"/>
          <w:szCs w:val="27"/>
        </w:rPr>
      </w:pPr>
      <w:r>
        <w:rPr>
          <w:rFonts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color w:val="0D0D0D"/>
          <w:sz w:val="27"/>
          <w:szCs w:val="27"/>
        </w:rPr>
      </w:pPr>
      <w:r>
        <w:rPr>
          <w:rFonts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p>
      <w:pPr>
        <w:pStyle w:val="Normal"/>
        <w:jc w:val="both"/>
        <w:rPr>
          <w:rFonts w:ascii="Times New Roman" w:hAnsi="Times New Roman"/>
          <w:color w:val="0D0D0D"/>
          <w:sz w:val="27"/>
          <w:szCs w:val="27"/>
        </w:rPr>
      </w:pPr>
      <w:r>
        <w:rPr>
          <w:rFonts w:ascii="Times New Roman" w:hAnsi="Times New Roman"/>
          <w:color w:val="0D0D0D"/>
          <w:sz w:val="27"/>
          <w:szCs w:val="27"/>
        </w:rPr>
      </w:r>
    </w:p>
    <w:tbl>
      <w:tblPr>
        <w:tblW w:w="10185" w:type="dxa"/>
        <w:jc w:val="left"/>
        <w:tblInd w:w="60" w:type="dxa"/>
        <w:tblLayout w:type="fixed"/>
        <w:tblCellMar>
          <w:top w:w="0" w:type="dxa"/>
          <w:left w:w="108" w:type="dxa"/>
          <w:bottom w:w="0" w:type="dxa"/>
          <w:right w:w="108" w:type="dxa"/>
        </w:tblCellMar>
        <w:tblLook w:firstRow="0" w:noVBand="0" w:lastRow="0" w:firstColumn="0" w:lastColumn="0" w:noHBand="0" w:val="0000"/>
      </w:tblPr>
      <w:tblGrid>
        <w:gridCol w:w="638"/>
        <w:gridCol w:w="2467"/>
        <w:gridCol w:w="7080"/>
      </w:tblGrid>
      <w:tr>
        <w:trPr/>
        <w:tc>
          <w:tcPr>
            <w:tcW w:w="10185"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b/>
                <w:b/>
                <w:color w:val="0D0D0D"/>
                <w:sz w:val="27"/>
                <w:szCs w:val="27"/>
              </w:rPr>
            </w:pPr>
            <w:bookmarkStart w:id="2" w:name="bookmark=id.30j0zll"/>
            <w:bookmarkEnd w:id="2"/>
            <w:r>
              <w:rPr>
                <w:rFonts w:ascii="Times New Roman" w:hAnsi="Times New Roman"/>
                <w:b/>
                <w:color w:val="0D0D0D" w:themeColor="text1" w:themeTint="f2"/>
                <w:sz w:val="27"/>
                <w:szCs w:val="27"/>
              </w:rPr>
              <w:t xml:space="preserve">Інформація про суб’єкт надання адміністративної послуги </w:t>
            </w:r>
          </w:p>
          <w:p>
            <w:pPr>
              <w:pStyle w:val="Normal"/>
              <w:widowControl w:val="false"/>
              <w:jc w:val="center"/>
              <w:rPr>
                <w:rFonts w:ascii="Times New Roman" w:hAnsi="Times New Roman"/>
                <w:b/>
                <w:b/>
                <w:i/>
                <w:i/>
                <w:color w:val="0D0D0D"/>
                <w:sz w:val="27"/>
                <w:szCs w:val="27"/>
              </w:rPr>
            </w:pPr>
            <w:r>
              <w:rPr>
                <w:rFonts w:ascii="Times New Roman" w:hAnsi="Times New Roman"/>
                <w:b/>
                <w:color w:val="0D0D0D" w:themeColor="text1" w:themeTint="f2"/>
                <w:sz w:val="27"/>
                <w:szCs w:val="27"/>
              </w:rPr>
              <w:t>та/або центр надання адміністративних послуг</w:t>
            </w:r>
          </w:p>
        </w:tc>
      </w:tr>
      <w:tr>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1</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Місцезнаходження</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720" w:hRule="atLeas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2</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Інформація щодо режиму роботи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3</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Телефон, адреса електронної пошти та вебсайт</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ел. адреса:</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8"/>
                  <w:rFonts w:eastAsia="Calibri" w:cs="Times New Roman" w:ascii="Times New Roman" w:hAnsi="Times New Roman"/>
                  <w:kern w:val="0"/>
                  <w:sz w:val="27"/>
                  <w:szCs w:val="27"/>
                  <w:lang w:val="en-US" w:eastAsia="en-US" w:bidi="ar-SA"/>
                </w:rPr>
                <w:t>https</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pervomaysk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mk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gov</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/1497504906/1497503257/</w:t>
              </w:r>
            </w:hyperlink>
          </w:p>
        </w:tc>
      </w:tr>
      <w:tr>
        <w:trPr/>
        <w:tc>
          <w:tcPr>
            <w:tcW w:w="10185"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b/>
                <w:b/>
                <w:color w:val="0D0D0D"/>
                <w:sz w:val="27"/>
                <w:szCs w:val="27"/>
              </w:rPr>
            </w:pPr>
            <w:r>
              <w:rPr>
                <w:rFonts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724" w:hRule="atLeas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4</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Закони України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69"/>
              <w:jc w:val="both"/>
              <w:rPr>
                <w:rFonts w:ascii="Times New Roman" w:hAnsi="Times New Roman"/>
                <w:color w:val="0D0D0D"/>
                <w:sz w:val="27"/>
                <w:szCs w:val="27"/>
              </w:rPr>
            </w:pPr>
            <w:r>
              <w:rPr>
                <w:rFonts w:ascii="Times New Roman" w:hAnsi="Times New Roman"/>
                <w:color w:val="0D0D0D" w:themeColor="text1" w:themeTint="f2"/>
                <w:sz w:val="27"/>
                <w:szCs w:val="27"/>
              </w:rPr>
              <w:t>Закон України “Про статус ветеранів війни, гарантії їх соціального захисту” (далі – Закон)</w:t>
            </w:r>
          </w:p>
          <w:p>
            <w:pPr>
              <w:pStyle w:val="Normal"/>
              <w:widowControl w:val="false"/>
              <w:spacing w:before="0" w:after="69"/>
              <w:jc w:val="both"/>
              <w:rPr>
                <w:rFonts w:ascii="Times New Roman" w:hAnsi="Times New Roman"/>
                <w:color w:val="0D0D0D"/>
                <w:sz w:val="27"/>
                <w:szCs w:val="27"/>
              </w:rPr>
            </w:pPr>
            <w:r>
              <w:rPr>
                <w:rFonts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Закон</w:t>
            </w:r>
            <w:r>
              <w:rPr>
                <w:rFonts w:ascii="Times New Roman" w:hAnsi="Times New Roman"/>
                <w:color w:val="0D0D0D" w:themeColor="text1" w:themeTint="f2"/>
                <w:spacing w:val="-2"/>
                <w:sz w:val="27"/>
                <w:szCs w:val="27"/>
              </w:rPr>
              <w:t xml:space="preserve"> </w:t>
            </w:r>
            <w:r>
              <w:rPr>
                <w:rFonts w:ascii="Times New Roman" w:hAnsi="Times New Roman"/>
                <w:color w:val="0D0D0D" w:themeColor="text1" w:themeTint="f2"/>
                <w:sz w:val="27"/>
                <w:szCs w:val="27"/>
              </w:rPr>
              <w:t>України</w:t>
            </w:r>
            <w:r>
              <w:rPr>
                <w:rFonts w:ascii="Times New Roman" w:hAnsi="Times New Roman"/>
                <w:color w:val="0D0D0D" w:themeColor="text1" w:themeTint="f2"/>
                <w:spacing w:val="-2"/>
                <w:sz w:val="27"/>
                <w:szCs w:val="27"/>
              </w:rPr>
              <w:t xml:space="preserve"> </w:t>
            </w:r>
            <w:r>
              <w:rPr>
                <w:rFonts w:ascii="Times New Roman" w:hAnsi="Times New Roman"/>
                <w:color w:val="0D0D0D" w:themeColor="text1" w:themeTint="f2"/>
                <w:sz w:val="27"/>
                <w:szCs w:val="27"/>
              </w:rPr>
              <w:t>“Про</w:t>
            </w:r>
            <w:r>
              <w:rPr>
                <w:rFonts w:ascii="Times New Roman" w:hAnsi="Times New Roman"/>
                <w:color w:val="0D0D0D" w:themeColor="text1" w:themeTint="f2"/>
                <w:spacing w:val="-2"/>
                <w:sz w:val="27"/>
                <w:szCs w:val="27"/>
              </w:rPr>
              <w:t xml:space="preserve"> </w:t>
            </w:r>
            <w:r>
              <w:rPr>
                <w:rFonts w:ascii="Times New Roman" w:hAnsi="Times New Roman"/>
                <w:color w:val="0D0D0D" w:themeColor="text1" w:themeTint="f2"/>
                <w:sz w:val="27"/>
                <w:szCs w:val="27"/>
              </w:rPr>
              <w:t>адміністративні</w:t>
            </w:r>
            <w:r>
              <w:rPr>
                <w:rFonts w:ascii="Times New Roman" w:hAnsi="Times New Roman"/>
                <w:color w:val="0D0D0D" w:themeColor="text1" w:themeTint="f2"/>
                <w:spacing w:val="-1"/>
                <w:sz w:val="27"/>
                <w:szCs w:val="27"/>
              </w:rPr>
              <w:t xml:space="preserve"> </w:t>
            </w:r>
            <w:r>
              <w:rPr>
                <w:rFonts w:ascii="Times New Roman" w:hAnsi="Times New Roman"/>
                <w:color w:val="0D0D0D" w:themeColor="text1" w:themeTint="f2"/>
                <w:sz w:val="27"/>
                <w:szCs w:val="27"/>
              </w:rPr>
              <w:t>послуги”</w:t>
            </w:r>
          </w:p>
        </w:tc>
      </w:tr>
      <w:tr>
        <w:trPr>
          <w:trHeight w:val="665" w:hRule="atLeas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5</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Акти Кабінету Міністрів України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shd w:fill="FFFFFF" w:val="clear"/>
              </w:rPr>
              <w:t xml:space="preserve">Порядок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затверджений </w:t>
            </w:r>
            <w:r>
              <w:rPr>
                <w:rFonts w:ascii="Times New Roman" w:hAnsi="Times New Roman"/>
                <w:color w:val="0D0D0D" w:themeColor="text1" w:themeTint="f2"/>
                <w:sz w:val="27"/>
                <w:szCs w:val="27"/>
              </w:rPr>
              <w:t>постановою Кабінету Міністрів України від 07.03.2025 № 252 (далі – Порядок № 252)</w:t>
            </w:r>
          </w:p>
        </w:tc>
      </w:tr>
      <w:tr>
        <w:trPr/>
        <w:tc>
          <w:tcPr>
            <w:tcW w:w="10185"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b/>
                <w:b/>
                <w:color w:val="0D0D0D"/>
                <w:sz w:val="27"/>
                <w:szCs w:val="27"/>
              </w:rPr>
            </w:pPr>
            <w:r>
              <w:rPr>
                <w:rFonts w:ascii="Times New Roman" w:hAnsi="Times New Roman"/>
                <w:b/>
                <w:color w:val="0D0D0D" w:themeColor="text1" w:themeTint="f2"/>
                <w:sz w:val="27"/>
                <w:szCs w:val="27"/>
              </w:rPr>
              <w:t>Умови отримання адміністративної послуги</w:t>
            </w:r>
          </w:p>
        </w:tc>
      </w:tr>
      <w:tr>
        <w:trPr>
          <w:trHeight w:val="5325" w:hRule="atLeas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6</w:t>
            </w:r>
          </w:p>
        </w:tc>
        <w:tc>
          <w:tcPr>
            <w:tcW w:w="2467"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Підстава для отримання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spacing w:before="0" w:after="120"/>
              <w:jc w:val="both"/>
              <w:rPr>
                <w:rFonts w:ascii="Times New Roman" w:hAnsi="Times New Roman"/>
                <w:b/>
                <w:b/>
                <w:bCs/>
                <w:color w:val="0D0D0D"/>
                <w:sz w:val="27"/>
                <w:szCs w:val="27"/>
              </w:rPr>
            </w:pPr>
            <w:r>
              <w:rPr>
                <w:rFonts w:ascii="Times New Roman" w:hAnsi="Times New Roman"/>
                <w:b/>
                <w:bCs/>
                <w:color w:val="0D0D0D" w:themeColor="text1" w:themeTint="f2"/>
                <w:sz w:val="27"/>
                <w:szCs w:val="27"/>
              </w:rPr>
              <w:t>Звернення осіб, які захищали незалежність, суверенітет та територіальну цілісність України (далі – Захисник та Захисниця), з числа:</w:t>
            </w:r>
          </w:p>
          <w:p>
            <w:pPr>
              <w:pStyle w:val="Normal"/>
              <w:widowControl w:val="false"/>
              <w:shd w:val="clear" w:color="auto" w:fill="FFFFFF"/>
              <w:spacing w:before="0" w:after="6"/>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осіб, які були призвані на військову службу за призовом під час мобілізації, на особливий період відповідно до Указу Президента України від 24.02.2022 №</w:t>
            </w:r>
            <w:r>
              <w:rPr>
                <w:rFonts w:ascii="Times New Roman" w:hAnsi="Times New Roman"/>
                <w:color w:val="0D0D0D" w:themeColor="text1" w:themeTint="f2"/>
                <w:sz w:val="27"/>
                <w:szCs w:val="27"/>
                <w:shd w:fill="FFFFFF" w:val="clear"/>
              </w:rPr>
              <w:t> </w:t>
            </w:r>
            <w:r>
              <w:rPr>
                <w:rFonts w:ascii="Times New Roman" w:hAnsi="Times New Roman"/>
                <w:color w:val="0D0D0D" w:themeColor="text1" w:themeTint="f2"/>
                <w:sz w:val="27"/>
                <w:szCs w:val="27"/>
              </w:rPr>
              <w:t>65 “Про загальну мобілізацію”, затвердженого Законом України від 03.03.2022 №</w:t>
            </w:r>
            <w:r>
              <w:rPr>
                <w:rFonts w:ascii="Times New Roman" w:hAnsi="Times New Roman"/>
                <w:color w:val="0D0D0D" w:themeColor="text1" w:themeTint="f2"/>
                <w:sz w:val="27"/>
                <w:szCs w:val="27"/>
                <w:shd w:fill="FFFFFF" w:val="clear"/>
              </w:rPr>
              <w:t> </w:t>
            </w:r>
            <w:r>
              <w:rPr>
                <w:rFonts w:ascii="Times New Roman" w:hAnsi="Times New Roman"/>
                <w:color w:val="0D0D0D" w:themeColor="text1" w:themeTint="f2"/>
                <w:sz w:val="27"/>
                <w:szCs w:val="27"/>
              </w:rPr>
              <w:t>2105-IX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pPr>
              <w:pStyle w:val="Normal"/>
              <w:widowControl w:val="false"/>
              <w:shd w:val="clear" w:color="auto" w:fill="FFFFFF"/>
              <w:spacing w:before="0" w:after="0"/>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w:t>
            </w:r>
          </w:p>
          <w:p>
            <w:pPr>
              <w:pStyle w:val="Normal"/>
              <w:widowControl w:val="false"/>
              <w:shd w:val="clear" w:color="auto" w:fill="FFFFFF"/>
              <w:spacing w:before="0" w:after="0"/>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w:t>
            </w:r>
          </w:p>
          <w:p>
            <w:pPr>
              <w:pStyle w:val="Normal"/>
              <w:widowControl w:val="false"/>
              <w:shd w:val="clear" w:color="auto" w:fill="FFFFFF"/>
              <w:spacing w:before="0" w:after="0"/>
              <w:ind w:firstLine="567"/>
              <w:jc w:val="both"/>
              <w:rPr>
                <w:rFonts w:ascii="Times New Roman" w:hAnsi="Times New Roman"/>
                <w:b/>
                <w:b/>
                <w:bCs/>
                <w:color w:val="0D0D0D"/>
                <w:sz w:val="27"/>
                <w:szCs w:val="27"/>
              </w:rPr>
            </w:pPr>
            <w:r>
              <w:rPr>
                <w:rFonts w:ascii="Times New Roman" w:hAnsi="Times New Roman"/>
                <w:b/>
                <w:bCs/>
                <w:color w:val="0D0D0D" w:themeColor="text1" w:themeTint="f2"/>
                <w:sz w:val="27"/>
                <w:szCs w:val="27"/>
              </w:rPr>
              <w:t>за умови, що такі особи:</w:t>
            </w:r>
          </w:p>
          <w:p>
            <w:pPr>
              <w:pStyle w:val="Normal"/>
              <w:widowControl w:val="false"/>
              <w:shd w:val="clear" w:color="auto" w:fill="FFFFFF"/>
              <w:spacing w:before="0" w:after="0"/>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w:t>
            </w:r>
          </w:p>
          <w:p>
            <w:pPr>
              <w:pStyle w:val="Normal"/>
              <w:widowControl w:val="false"/>
              <w:shd w:val="clear" w:color="auto" w:fill="FFFFFF"/>
              <w:spacing w:before="0" w:after="0"/>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є внутрішньо переміщеними особами, які перемістилися (повторно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Мінрозвитку, щодо яких не визначено дати завершення бойових дій (припинення можливості бойових дій) або тимчасової окупації (далі – території, з яких перемістилися внутрішньо переміщені особи), і не мають власного житлового приміщення, розташованого на території України (крім житлового приміщення, яке пошкоджене або знищене внаслідок бойових дій, терористичних актів, диверсій, спричинених військовою агресією Російської Федерації проти України, та розміщується на території, з яких перемістилися внутрішньо переміщені особи);</w:t>
            </w:r>
          </w:p>
          <w:p>
            <w:pPr>
              <w:pStyle w:val="Normal"/>
              <w:widowControl w:val="false"/>
              <w:shd w:val="clear" w:color="auto" w:fill="FFFFFF"/>
              <w:spacing w:before="0" w:after="120"/>
              <w:ind w:firstLine="567"/>
              <w:jc w:val="both"/>
              <w:rPr>
                <w:rFonts w:ascii="Times New Roman" w:hAnsi="Times New Roman"/>
                <w:strike/>
                <w:color w:val="0D0D0D"/>
                <w:sz w:val="27"/>
                <w:szCs w:val="27"/>
              </w:rPr>
            </w:pPr>
            <w:r>
              <w:rPr>
                <w:rFonts w:ascii="Times New Roman" w:hAnsi="Times New Roman"/>
                <w:color w:val="0D0D0D" w:themeColor="text1" w:themeTint="f2"/>
                <w:sz w:val="27"/>
                <w:szCs w:val="27"/>
              </w:rPr>
              <w:t>отримують реабілітаційну допомогу в амбулаторних умовах поза межами адреси задекларованого/ зареєстрованого місця проживання, розташованого на відстані понад 15 кілометрів від адреси місця проживання (далі – реабілітаційна допомога).</w:t>
            </w:r>
          </w:p>
        </w:tc>
      </w:tr>
      <w:tr>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7</w:t>
            </w:r>
          </w:p>
        </w:tc>
        <w:tc>
          <w:tcPr>
            <w:tcW w:w="2467"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color w:val="0D0D0D"/>
                <w:sz w:val="27"/>
                <w:szCs w:val="27"/>
              </w:rPr>
            </w:pPr>
            <w:r>
              <w:rPr>
                <w:rFonts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b/>
                <w:b/>
                <w:bCs/>
                <w:color w:val="0D0D0D"/>
                <w:sz w:val="27"/>
                <w:szCs w:val="27"/>
              </w:rPr>
            </w:pPr>
            <w:r>
              <w:rPr>
                <w:rFonts w:ascii="Times New Roman" w:hAnsi="Times New Roman"/>
                <w:b/>
                <w:bCs/>
                <w:color w:val="000000" w:themeTint="f2"/>
                <w:sz w:val="27"/>
                <w:szCs w:val="27"/>
              </w:rPr>
              <w:t>До</w:t>
            </w:r>
            <w:r>
              <w:rPr>
                <w:rFonts w:ascii="Times New Roman" w:hAnsi="Times New Roman"/>
                <w:b/>
                <w:bCs/>
                <w:color w:val="C9211E" w:themeTint="f2"/>
                <w:sz w:val="27"/>
                <w:szCs w:val="27"/>
              </w:rPr>
              <w:t xml:space="preserve"> </w:t>
            </w:r>
            <w:r>
              <w:rPr>
                <w:rFonts w:ascii="Times New Roman" w:hAnsi="Times New Roman"/>
                <w:b/>
                <w:bCs/>
                <w:color w:val="0D0D0D" w:themeColor="text1" w:themeTint="f2"/>
                <w:sz w:val="27"/>
                <w:szCs w:val="27"/>
              </w:rPr>
              <w:t>управління соціального захисту населення</w:t>
            </w:r>
            <w:r>
              <w:rPr>
                <w:rFonts w:ascii="Times New Roman" w:hAnsi="Times New Roman"/>
                <w:b/>
                <w:bCs/>
                <w:color w:val="0D0D0D" w:themeColor="text1" w:themeTint="f2"/>
                <w:spacing w:val="-2"/>
                <w:sz w:val="27"/>
                <w:szCs w:val="27"/>
              </w:rPr>
              <w:t xml:space="preserve"> за адресою найманого житлового приміщення Захисники та Захисниці </w:t>
            </w:r>
            <w:r>
              <w:rPr>
                <w:rFonts w:ascii="Times New Roman" w:hAnsi="Times New Roman"/>
                <w:b/>
                <w:bCs/>
                <w:color w:val="0D0D0D" w:themeColor="text1" w:themeTint="f2"/>
                <w:sz w:val="27"/>
                <w:szCs w:val="27"/>
              </w:rPr>
              <w:t>подають заяву</w:t>
            </w:r>
            <w:r>
              <w:rPr>
                <w:rFonts w:ascii="Times New Roman" w:hAnsi="Times New Roman"/>
                <w:b/>
                <w:bCs/>
                <w:color w:val="0D0D0D" w:themeColor="text1" w:themeTint="f2"/>
                <w:spacing w:val="-2"/>
                <w:sz w:val="27"/>
                <w:szCs w:val="27"/>
              </w:rPr>
              <w:t xml:space="preserve"> у паперовій формі </w:t>
            </w:r>
            <w:r>
              <w:rPr>
                <w:rFonts w:ascii="Times New Roman" w:hAnsi="Times New Roman"/>
                <w:b/>
                <w:bCs/>
                <w:color w:val="0D0D0D" w:themeColor="text1" w:themeTint="f2"/>
                <w:sz w:val="27"/>
                <w:szCs w:val="27"/>
              </w:rPr>
              <w:t xml:space="preserve">згідно з додатком до Порядку № 252 (заява </w:t>
            </w:r>
            <w:r>
              <w:rPr>
                <w:rFonts w:ascii="Times New Roman" w:hAnsi="Times New Roman"/>
                <w:b/>
                <w:bCs/>
                <w:color w:val="0D0D0D" w:themeColor="text1" w:themeTint="f2"/>
                <w:spacing w:val="-2"/>
                <w:sz w:val="27"/>
                <w:szCs w:val="27"/>
              </w:rPr>
              <w:t>в електронній формі подається за наявності технічної можливості)</w:t>
            </w:r>
            <w:r>
              <w:rPr>
                <w:rFonts w:ascii="Times New Roman" w:hAnsi="Times New Roman"/>
                <w:b/>
                <w:bCs/>
                <w:color w:val="0D0D0D" w:themeColor="text1" w:themeTint="f2"/>
                <w:sz w:val="27"/>
                <w:szCs w:val="27"/>
              </w:rPr>
              <w:t>.</w:t>
            </w:r>
          </w:p>
          <w:p>
            <w:pPr>
              <w:pStyle w:val="Normal"/>
              <w:keepNext w:val="true"/>
              <w:widowControl w:val="false"/>
              <w:spacing w:before="0" w:after="0"/>
              <w:ind w:firstLine="567"/>
              <w:jc w:val="both"/>
              <w:rPr>
                <w:rFonts w:ascii="Times New Roman" w:hAnsi="Times New Roman"/>
                <w:b/>
                <w:b/>
                <w:bCs/>
                <w:color w:val="0D0D0D"/>
                <w:spacing w:val="-2"/>
                <w:sz w:val="27"/>
                <w:szCs w:val="27"/>
              </w:rPr>
            </w:pPr>
            <w:r>
              <w:rPr>
                <w:rFonts w:ascii="Times New Roman" w:hAnsi="Times New Roman"/>
                <w:b/>
                <w:bCs/>
                <w:color w:val="0D0D0D" w:themeColor="text1" w:themeTint="f2"/>
                <w:spacing w:val="-2"/>
                <w:sz w:val="27"/>
                <w:szCs w:val="27"/>
              </w:rPr>
              <w:t>До заяви додаються копії (електроні копії за технічної можливості):</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документа, що посвідчує особу, або єДокумента разом з унікальним електронним ідентифікатором (QR-кодом), що формуються засобами Єдиного державного вебпорталу електронних послуг, а також інформації про адресу місця проживання (за наявності);</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інформаційної довідки з Державного реєстру речових прав на нерухоме майно про зареєстровані речові права на нерухоме майно;</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договору найму (оренди) житлового приміщення</w:t>
            </w:r>
            <w:r>
              <w:rPr>
                <w:rFonts w:ascii="Times New Roman" w:hAnsi="Times New Roman"/>
                <w:color w:val="0D0D0D" w:themeColor="text1" w:themeTint="f2"/>
                <w:sz w:val="27"/>
                <w:szCs w:val="27"/>
              </w:rPr>
              <w:t>.</w:t>
            </w:r>
          </w:p>
          <w:p>
            <w:pPr>
              <w:pStyle w:val="Normal"/>
              <w:keepNext w:val="true"/>
              <w:widowControl w:val="false"/>
              <w:spacing w:before="0" w:after="0"/>
              <w:ind w:firstLine="567"/>
              <w:jc w:val="both"/>
              <w:rPr>
                <w:rFonts w:ascii="Times New Roman" w:hAnsi="Times New Roman"/>
                <w:b/>
                <w:b/>
                <w:bCs/>
                <w:strike/>
                <w:color w:val="0D0D0D"/>
                <w:spacing w:val="-2"/>
                <w:sz w:val="27"/>
                <w:szCs w:val="27"/>
              </w:rPr>
            </w:pPr>
            <w:r>
              <w:rPr>
                <w:rFonts w:ascii="Times New Roman" w:hAnsi="Times New Roman"/>
                <w:b/>
                <w:bCs/>
                <w:color w:val="0D0D0D" w:themeColor="text1" w:themeTint="f2"/>
                <w:spacing w:val="-2"/>
                <w:sz w:val="27"/>
                <w:szCs w:val="27"/>
              </w:rPr>
              <w:t>1)</w:t>
            </w:r>
            <w:r>
              <w:rPr>
                <w:rFonts w:ascii="Times New Roman" w:hAnsi="Times New Roman"/>
                <w:color w:val="0D0D0D" w:themeColor="text1" w:themeTint="f2"/>
                <w:sz w:val="27"/>
                <w:szCs w:val="27"/>
                <w:shd w:fill="FFFFFF" w:val="clear"/>
              </w:rPr>
              <w:t> </w:t>
            </w:r>
            <w:r>
              <w:rPr>
                <w:rFonts w:ascii="Times New Roman" w:hAnsi="Times New Roman"/>
                <w:b/>
                <w:bCs/>
                <w:color w:val="0D0D0D" w:themeColor="text1" w:themeTint="f2"/>
                <w:spacing w:val="-2"/>
                <w:sz w:val="27"/>
                <w:szCs w:val="27"/>
              </w:rPr>
              <w:t>особи житло яких пошкоджене або знищене, які не набули статусу ветерана війни, додають копії:</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військово-облікового документа;</w:t>
            </w:r>
          </w:p>
          <w:p>
            <w:pPr>
              <w:pStyle w:val="Normal"/>
              <w:keepNext w:val="true"/>
              <w:widowControl w:val="false"/>
              <w:ind w:firstLine="567"/>
              <w:jc w:val="both"/>
              <w:rPr>
                <w:rFonts w:ascii="Times New Roman" w:hAnsi="Times New Roman"/>
                <w:strike/>
                <w:color w:val="0D0D0D"/>
                <w:spacing w:val="-2"/>
                <w:sz w:val="27"/>
                <w:szCs w:val="27"/>
              </w:rPr>
            </w:pPr>
            <w:r>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pPr>
              <w:pStyle w:val="Normal"/>
              <w:keepNext w:val="true"/>
              <w:widowControl w:val="false"/>
              <w:spacing w:before="0" w:after="0"/>
              <w:ind w:firstLine="567"/>
              <w:jc w:val="both"/>
              <w:rPr>
                <w:rFonts w:ascii="Times New Roman" w:hAnsi="Times New Roman"/>
                <w:b/>
                <w:b/>
                <w:bCs/>
                <w:color w:val="0D0D0D"/>
                <w:spacing w:val="-2"/>
                <w:sz w:val="27"/>
                <w:szCs w:val="27"/>
              </w:rPr>
            </w:pPr>
            <w:r>
              <w:rPr>
                <w:rFonts w:ascii="Times New Roman" w:hAnsi="Times New Roman"/>
                <w:b/>
                <w:bCs/>
                <w:color w:val="0D0D0D" w:themeColor="text1" w:themeTint="f2"/>
                <w:spacing w:val="-2"/>
                <w:sz w:val="27"/>
                <w:szCs w:val="27"/>
              </w:rPr>
              <w:t>2)</w:t>
            </w:r>
            <w:r>
              <w:rPr>
                <w:rFonts w:ascii="Times New Roman" w:hAnsi="Times New Roman"/>
                <w:color w:val="0D0D0D" w:themeColor="text1" w:themeTint="f2"/>
                <w:sz w:val="27"/>
                <w:szCs w:val="27"/>
                <w:shd w:fill="FFFFFF" w:val="clear"/>
              </w:rPr>
              <w:t> </w:t>
            </w:r>
            <w:r>
              <w:rPr>
                <w:rFonts w:ascii="Times New Roman" w:hAnsi="Times New Roman"/>
                <w:b/>
                <w:bCs/>
                <w:color w:val="0D0D0D" w:themeColor="text1" w:themeTint="f2"/>
                <w:spacing w:val="-2"/>
                <w:sz w:val="27"/>
                <w:szCs w:val="27"/>
              </w:rPr>
              <w:t>особи, які є внутрішньо переміщеними особами і не набули статусу ветерана війни, додають копії:</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військово-облікового документа;</w:t>
            </w:r>
          </w:p>
          <w:p>
            <w:pPr>
              <w:pStyle w:val="Normal"/>
              <w:keepNext w:val="true"/>
              <w:widowControl w:val="false"/>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w:t>
            </w:r>
          </w:p>
          <w:p>
            <w:pPr>
              <w:pStyle w:val="Normal"/>
              <w:keepNext w:val="true"/>
              <w:widowControl w:val="false"/>
              <w:spacing w:before="0" w:after="0"/>
              <w:ind w:firstLine="567"/>
              <w:jc w:val="both"/>
              <w:rPr>
                <w:rFonts w:ascii="Times New Roman" w:hAnsi="Times New Roman"/>
                <w:b/>
                <w:b/>
                <w:bCs/>
                <w:color w:val="0D0D0D"/>
                <w:spacing w:val="-2"/>
                <w:sz w:val="27"/>
                <w:szCs w:val="27"/>
              </w:rPr>
            </w:pPr>
            <w:r>
              <w:rPr>
                <w:rFonts w:ascii="Times New Roman" w:hAnsi="Times New Roman"/>
                <w:b/>
                <w:bCs/>
                <w:color w:val="0D0D0D" w:themeColor="text1" w:themeTint="f2"/>
                <w:spacing w:val="-2"/>
                <w:sz w:val="27"/>
                <w:szCs w:val="27"/>
              </w:rPr>
              <w:t>3)</w:t>
            </w:r>
            <w:r>
              <w:rPr>
                <w:rFonts w:ascii="Times New Roman" w:hAnsi="Times New Roman"/>
                <w:color w:val="0D0D0D" w:themeColor="text1" w:themeTint="f2"/>
                <w:sz w:val="27"/>
                <w:szCs w:val="27"/>
                <w:shd w:fill="FFFFFF" w:val="clear"/>
              </w:rPr>
              <w:t> </w:t>
            </w:r>
            <w:r>
              <w:rPr>
                <w:rFonts w:ascii="Times New Roman" w:hAnsi="Times New Roman"/>
                <w:b/>
                <w:bCs/>
                <w:color w:val="0D0D0D" w:themeColor="text1" w:themeTint="f2"/>
                <w:spacing w:val="-2"/>
                <w:sz w:val="27"/>
                <w:szCs w:val="27"/>
              </w:rPr>
              <w:t>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форми первинної облікової документації №</w:t>
            </w:r>
            <w:r>
              <w:rPr>
                <w:rFonts w:ascii="Times New Roman" w:hAnsi="Times New Roman"/>
                <w:color w:val="0D0D0D" w:themeColor="text1" w:themeTint="f2"/>
                <w:sz w:val="27"/>
                <w:szCs w:val="27"/>
                <w:shd w:fill="FFFFFF" w:val="clear"/>
              </w:rPr>
              <w:t> </w:t>
            </w:r>
            <w:r>
              <w:rPr>
                <w:rFonts w:ascii="Times New Roman" w:hAnsi="Times New Roman"/>
                <w:color w:val="0D0D0D" w:themeColor="text1" w:themeTint="f2"/>
                <w:spacing w:val="-2"/>
                <w:sz w:val="27"/>
                <w:szCs w:val="27"/>
              </w:rPr>
              <w:t>044-1 “Результати обговорень мультидисциплінарної реабілітаційної команди стосовно особи, яка потребує реабілітації”, затвердженої наказом МОЗ від 14.02.2012 №</w:t>
            </w:r>
            <w:r>
              <w:rPr>
                <w:rFonts w:ascii="Times New Roman" w:hAnsi="Times New Roman"/>
                <w:color w:val="0D0D0D" w:themeColor="text1" w:themeTint="f2"/>
                <w:spacing w:val="-2"/>
                <w:sz w:val="27"/>
                <w:szCs w:val="27"/>
                <w:shd w:fill="FFFFFF" w:val="clear"/>
              </w:rPr>
              <w:t> </w:t>
            </w:r>
            <w:r>
              <w:rPr>
                <w:rFonts w:ascii="Times New Roman" w:hAnsi="Times New Roman"/>
                <w:color w:val="0D0D0D" w:themeColor="text1" w:themeTint="f2"/>
                <w:spacing w:val="-2"/>
                <w:sz w:val="27"/>
                <w:szCs w:val="27"/>
              </w:rPr>
              <w:t>110, або інших документів, що підтверджують проходження реабілітаційної допомоги в амбулаторних умовах;</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військово-облікового документа;</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pPr>
              <w:pStyle w:val="Normal"/>
              <w:keepNext w:val="true"/>
              <w:widowControl w:val="false"/>
              <w:spacing w:before="0" w:after="0"/>
              <w:ind w:firstLine="567"/>
              <w:jc w:val="both"/>
              <w:rPr>
                <w:rFonts w:ascii="Times New Roman" w:hAnsi="Times New Roman"/>
                <w:b/>
                <w:b/>
                <w:bCs/>
                <w:color w:val="0D0D0D"/>
                <w:spacing w:val="-2"/>
                <w:sz w:val="27"/>
                <w:szCs w:val="27"/>
              </w:rPr>
            </w:pPr>
            <w:r>
              <w:rPr>
                <w:rFonts w:ascii="Times New Roman" w:hAnsi="Times New Roman"/>
                <w:b/>
                <w:bCs/>
                <w:color w:val="0D0D0D" w:themeColor="text1" w:themeTint="f2"/>
                <w:spacing w:val="-2"/>
                <w:sz w:val="27"/>
                <w:szCs w:val="27"/>
              </w:rPr>
              <w:t>4)</w:t>
            </w:r>
            <w:r>
              <w:rPr>
                <w:rFonts w:ascii="Times New Roman" w:hAnsi="Times New Roman"/>
                <w:color w:val="0D0D0D" w:themeColor="text1" w:themeTint="f2"/>
                <w:sz w:val="27"/>
                <w:szCs w:val="27"/>
                <w:shd w:fill="FFFFFF" w:val="clear"/>
              </w:rPr>
              <w:t> </w:t>
            </w:r>
            <w:r>
              <w:rPr>
                <w:rFonts w:ascii="Times New Roman" w:hAnsi="Times New Roman"/>
                <w:b/>
                <w:bCs/>
                <w:color w:val="0D0D0D" w:themeColor="text1" w:themeTint="f2"/>
                <w:spacing w:val="-2"/>
                <w:sz w:val="27"/>
                <w:szCs w:val="27"/>
              </w:rPr>
              <w:t>особи житло яких пошкоджене або знищене, які набули статус учасника бойових або особи зі інвалідністю внаслідок війни, додають копії:</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w:t>
            </w:r>
            <w:r>
              <w:rPr>
                <w:rFonts w:ascii="Times New Roman" w:hAnsi="Times New Roman"/>
                <w:color w:val="0D0D0D" w:themeColor="text1" w:themeTint="f2"/>
                <w:sz w:val="27"/>
                <w:szCs w:val="27"/>
                <w:shd w:fill="FFFFFF" w:val="clear"/>
              </w:rPr>
              <w:t> </w:t>
            </w:r>
            <w:r>
              <w:rPr>
                <w:rFonts w:ascii="Times New Roman" w:hAnsi="Times New Roman"/>
                <w:color w:val="0D0D0D" w:themeColor="text1" w:themeTint="f2"/>
                <w:spacing w:val="-2"/>
                <w:sz w:val="27"/>
                <w:szCs w:val="27"/>
              </w:rPr>
              <w:t>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посвідчення встановленого зразка, що підтверджує статус учасника бойових дій або особи з інвалідністю внаслідок війни;</w:t>
            </w:r>
          </w:p>
          <w:p>
            <w:pPr>
              <w:pStyle w:val="Normal"/>
              <w:keepNext w:val="true"/>
              <w:widowControl w:val="false"/>
              <w:spacing w:before="0" w:after="0"/>
              <w:ind w:firstLine="567"/>
              <w:jc w:val="both"/>
              <w:rPr>
                <w:rFonts w:ascii="Times New Roman" w:hAnsi="Times New Roman"/>
                <w:b/>
                <w:b/>
                <w:bCs/>
                <w:color w:val="0D0D0D"/>
                <w:spacing w:val="-2"/>
                <w:sz w:val="27"/>
                <w:szCs w:val="27"/>
              </w:rPr>
            </w:pPr>
            <w:r>
              <w:rPr>
                <w:rFonts w:ascii="Times New Roman" w:hAnsi="Times New Roman"/>
                <w:b/>
                <w:bCs/>
                <w:color w:val="0D0D0D" w:themeColor="text1" w:themeTint="f2"/>
                <w:spacing w:val="-2"/>
                <w:sz w:val="27"/>
                <w:szCs w:val="27"/>
              </w:rPr>
              <w:t>5)</w:t>
            </w:r>
            <w:r>
              <w:rPr>
                <w:rFonts w:ascii="Times New Roman" w:hAnsi="Times New Roman"/>
                <w:color w:val="0D0D0D" w:themeColor="text1" w:themeTint="f2"/>
                <w:sz w:val="27"/>
                <w:szCs w:val="27"/>
                <w:shd w:fill="FFFFFF" w:val="clear"/>
              </w:rPr>
              <w:t> </w:t>
            </w:r>
            <w:r>
              <w:rPr>
                <w:rFonts w:ascii="Times New Roman" w:hAnsi="Times New Roman"/>
                <w:b/>
                <w:bCs/>
                <w:color w:val="0D0D0D" w:themeColor="text1" w:themeTint="f2"/>
                <w:spacing w:val="-2"/>
                <w:sz w:val="27"/>
                <w:szCs w:val="27"/>
              </w:rPr>
              <w:t>особи, які є внутрішньо переміщеними особами і набули статус учасника бойових дій або особи з інвалідністю внаслідок війни, додають копії:</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посвідчення встановленого зразка, що підтверджує статус учасника бойових дій або особи з інвалідністю внаслідок війни;</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w:t>
            </w:r>
          </w:p>
          <w:p>
            <w:pPr>
              <w:pStyle w:val="Normal"/>
              <w:keepNext w:val="true"/>
              <w:widowControl w:val="false"/>
              <w:spacing w:before="0" w:after="0"/>
              <w:ind w:firstLine="567"/>
              <w:jc w:val="both"/>
              <w:rPr>
                <w:rFonts w:ascii="Times New Roman" w:hAnsi="Times New Roman"/>
                <w:b/>
                <w:b/>
                <w:bCs/>
                <w:color w:val="0D0D0D"/>
                <w:spacing w:val="-2"/>
                <w:sz w:val="27"/>
                <w:szCs w:val="27"/>
              </w:rPr>
            </w:pPr>
            <w:r>
              <w:rPr>
                <w:rFonts w:ascii="Times New Roman" w:hAnsi="Times New Roman"/>
                <w:b/>
                <w:bCs/>
                <w:color w:val="0D0D0D" w:themeColor="text1" w:themeTint="f2"/>
                <w:spacing w:val="-2"/>
                <w:sz w:val="27"/>
                <w:szCs w:val="27"/>
              </w:rPr>
              <w:t>6)</w:t>
            </w:r>
            <w:r>
              <w:rPr>
                <w:rFonts w:ascii="Times New Roman" w:hAnsi="Times New Roman"/>
                <w:color w:val="0D0D0D" w:themeColor="text1" w:themeTint="f2"/>
                <w:sz w:val="27"/>
                <w:szCs w:val="27"/>
                <w:shd w:fill="FFFFFF" w:val="clear"/>
              </w:rPr>
              <w:t> </w:t>
            </w:r>
            <w:r>
              <w:rPr>
                <w:rFonts w:ascii="Times New Roman" w:hAnsi="Times New Roman"/>
                <w:b/>
                <w:bCs/>
                <w:color w:val="0D0D0D" w:themeColor="text1" w:themeTint="f2"/>
                <w:spacing w:val="-2"/>
                <w:sz w:val="27"/>
                <w:szCs w:val="27"/>
              </w:rPr>
              <w:t>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w:t>
            </w:r>
            <w:r>
              <w:rPr>
                <w:rFonts w:ascii="Times New Roman" w:hAnsi="Times New Roman"/>
                <w:color w:val="0D0D0D" w:themeColor="text1" w:themeTint="f2"/>
                <w:sz w:val="27"/>
                <w:szCs w:val="27"/>
              </w:rPr>
              <w:t xml:space="preserve"> </w:t>
            </w:r>
            <w:r>
              <w:rPr>
                <w:rFonts w:ascii="Times New Roman" w:hAnsi="Times New Roman"/>
                <w:b/>
                <w:bCs/>
                <w:color w:val="0D0D0D" w:themeColor="text1" w:themeTint="f2"/>
                <w:spacing w:val="-2"/>
                <w:sz w:val="27"/>
                <w:szCs w:val="27"/>
              </w:rPr>
              <w:t>учасника бойових або особи зі інвалідністю внаслідок війни, додають копії:</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форми первинної облікової документації №</w:t>
            </w:r>
            <w:r>
              <w:rPr>
                <w:rFonts w:ascii="Times New Roman" w:hAnsi="Times New Roman"/>
                <w:color w:val="0D0D0D" w:themeColor="text1" w:themeTint="f2"/>
                <w:sz w:val="27"/>
                <w:szCs w:val="27"/>
                <w:shd w:fill="FFFFFF" w:val="clear"/>
              </w:rPr>
              <w:t> </w:t>
            </w:r>
            <w:r>
              <w:rPr>
                <w:rFonts w:ascii="Times New Roman" w:hAnsi="Times New Roman"/>
                <w:color w:val="0D0D0D" w:themeColor="text1" w:themeTint="f2"/>
                <w:spacing w:val="-2"/>
                <w:sz w:val="27"/>
                <w:szCs w:val="27"/>
              </w:rPr>
              <w:t>044-1 “Результати обговорень мультидисциплінарної реабілітаційної команди стосовно особи, яка потребує реабілітації”, затвердженої наказом МОЗ від 14.02.2012 №</w:t>
            </w:r>
            <w:r>
              <w:rPr>
                <w:rFonts w:ascii="Times New Roman" w:hAnsi="Times New Roman"/>
                <w:color w:val="0D0D0D" w:themeColor="text1" w:themeTint="f2"/>
                <w:spacing w:val="-2"/>
                <w:sz w:val="27"/>
                <w:szCs w:val="27"/>
                <w:shd w:fill="FFFFFF" w:val="clear"/>
              </w:rPr>
              <w:t> </w:t>
            </w:r>
            <w:r>
              <w:rPr>
                <w:rFonts w:ascii="Times New Roman" w:hAnsi="Times New Roman"/>
                <w:color w:val="0D0D0D" w:themeColor="text1" w:themeTint="f2"/>
                <w:spacing w:val="-2"/>
                <w:sz w:val="27"/>
                <w:szCs w:val="27"/>
              </w:rPr>
              <w:t>110, або інших документів, що підтверджують проходження реабілітаційної допомоги в амбулаторних умовах;</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посвідчення встановленого зразка, що підтверджує статус учасника бойових дій або особи з інвалідністю внаслідок війни;</w:t>
            </w:r>
          </w:p>
          <w:p>
            <w:pPr>
              <w:pStyle w:val="Normal"/>
              <w:keepNext w:val="true"/>
              <w:widowControl w:val="false"/>
              <w:spacing w:before="0" w:after="0"/>
              <w:ind w:firstLine="567"/>
              <w:jc w:val="both"/>
              <w:rPr>
                <w:rFonts w:ascii="Times New Roman" w:hAnsi="Times New Roman"/>
                <w:b/>
                <w:b/>
                <w:bCs/>
                <w:color w:val="0D0D0D"/>
                <w:spacing w:val="-2"/>
                <w:sz w:val="27"/>
                <w:szCs w:val="27"/>
              </w:rPr>
            </w:pPr>
            <w:r>
              <w:rPr>
                <w:rFonts w:ascii="Times New Roman" w:hAnsi="Times New Roman"/>
                <w:b/>
                <w:bCs/>
                <w:color w:val="0D0D0D" w:themeColor="text1" w:themeTint="f2"/>
                <w:spacing w:val="-2"/>
                <w:sz w:val="27"/>
                <w:szCs w:val="27"/>
              </w:rPr>
              <w:t>7)</w:t>
            </w:r>
            <w:r>
              <w:rPr>
                <w:rFonts w:ascii="Times New Roman" w:hAnsi="Times New Roman"/>
                <w:color w:val="0D0D0D" w:themeColor="text1" w:themeTint="f2"/>
                <w:sz w:val="27"/>
                <w:szCs w:val="27"/>
                <w:shd w:fill="FFFFFF" w:val="clear"/>
              </w:rPr>
              <w:t> </w:t>
            </w:r>
            <w:r>
              <w:rPr>
                <w:rFonts w:ascii="Times New Roman" w:hAnsi="Times New Roman"/>
                <w:b/>
                <w:bCs/>
                <w:color w:val="0D0D0D" w:themeColor="text1" w:themeTint="f2"/>
                <w:spacing w:val="-2"/>
                <w:sz w:val="27"/>
                <w:szCs w:val="27"/>
              </w:rPr>
              <w:t>поліцейські, особи рядового і начальницького складу служби цивільного захисту житло яких пошкоджене або знищене додають копії:</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pPr>
              <w:pStyle w:val="Normal"/>
              <w:keepNext w:val="true"/>
              <w:widowControl w:val="false"/>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військово-облікового документа;</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витягу з наказу про звільнення зі служби в поліції, виключення з кадрів ДСНС;</w:t>
            </w:r>
          </w:p>
          <w:p>
            <w:pPr>
              <w:pStyle w:val="Normal"/>
              <w:keepNext w:val="true"/>
              <w:widowControl w:val="false"/>
              <w:spacing w:before="0" w:after="0"/>
              <w:ind w:firstLine="567"/>
              <w:jc w:val="both"/>
              <w:rPr>
                <w:rFonts w:ascii="Times New Roman" w:hAnsi="Times New Roman"/>
                <w:b/>
                <w:b/>
                <w:bCs/>
                <w:color w:val="0D0D0D"/>
                <w:spacing w:val="-2"/>
                <w:sz w:val="27"/>
                <w:szCs w:val="27"/>
              </w:rPr>
            </w:pPr>
            <w:r>
              <w:rPr>
                <w:rFonts w:ascii="Times New Roman" w:hAnsi="Times New Roman"/>
                <w:b/>
                <w:bCs/>
                <w:color w:val="0D0D0D" w:themeColor="text1" w:themeTint="f2"/>
                <w:spacing w:val="-2"/>
                <w:sz w:val="27"/>
                <w:szCs w:val="27"/>
              </w:rPr>
              <w:t>8)</w:t>
            </w:r>
            <w:r>
              <w:rPr>
                <w:rFonts w:ascii="Times New Roman" w:hAnsi="Times New Roman"/>
                <w:color w:val="0D0D0D" w:themeColor="text1" w:themeTint="f2"/>
                <w:sz w:val="27"/>
                <w:szCs w:val="27"/>
                <w:shd w:fill="FFFFFF" w:val="clear"/>
              </w:rPr>
              <w:t> </w:t>
            </w:r>
            <w:r>
              <w:rPr>
                <w:rFonts w:ascii="Times New Roman" w:hAnsi="Times New Roman"/>
                <w:b/>
                <w:bCs/>
                <w:color w:val="0D0D0D" w:themeColor="text1" w:themeTint="f2"/>
                <w:spacing w:val="-2"/>
                <w:sz w:val="27"/>
                <w:szCs w:val="27"/>
              </w:rPr>
              <w:t>поліцейські, особи рядового і начальницького складу служби цивільного захисту, які є внутрішньо переміщеними особами, додають копії:</w:t>
            </w:r>
          </w:p>
          <w:p>
            <w:pPr>
              <w:pStyle w:val="Normal"/>
              <w:keepNext w:val="true"/>
              <w:widowControl w:val="false"/>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військово-облікового документа;</w:t>
            </w:r>
          </w:p>
          <w:p>
            <w:pPr>
              <w:pStyle w:val="Normal"/>
              <w:keepNext w:val="true"/>
              <w:widowControl w:val="false"/>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w:t>
            </w:r>
          </w:p>
          <w:p>
            <w:pPr>
              <w:pStyle w:val="Normal"/>
              <w:keepNext w:val="true"/>
              <w:widowControl w:val="false"/>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витягу з наказу про звільнення зі служби в поліції, виключення з кадрів ДСНС;</w:t>
            </w:r>
          </w:p>
          <w:p>
            <w:pPr>
              <w:pStyle w:val="Normal"/>
              <w:keepNext w:val="true"/>
              <w:widowControl w:val="false"/>
              <w:spacing w:before="0" w:after="0"/>
              <w:ind w:firstLine="567"/>
              <w:jc w:val="both"/>
              <w:rPr>
                <w:rFonts w:ascii="Times New Roman" w:hAnsi="Times New Roman"/>
                <w:b/>
                <w:b/>
                <w:bCs/>
                <w:color w:val="0D0D0D"/>
                <w:spacing w:val="-2"/>
                <w:sz w:val="27"/>
                <w:szCs w:val="27"/>
              </w:rPr>
            </w:pPr>
            <w:r>
              <w:rPr>
                <w:rFonts w:ascii="Times New Roman" w:hAnsi="Times New Roman"/>
                <w:b/>
                <w:bCs/>
                <w:color w:val="0D0D0D" w:themeColor="text1" w:themeTint="f2"/>
                <w:spacing w:val="-2"/>
                <w:sz w:val="27"/>
                <w:szCs w:val="27"/>
              </w:rPr>
              <w:t>9)</w:t>
            </w:r>
            <w:r>
              <w:rPr>
                <w:rFonts w:ascii="Times New Roman" w:hAnsi="Times New Roman"/>
                <w:b/>
                <w:bCs/>
                <w:color w:val="0D0D0D" w:themeColor="text1" w:themeTint="f2"/>
                <w:sz w:val="27"/>
                <w:szCs w:val="27"/>
                <w:shd w:fill="FFFFFF" w:val="clear"/>
              </w:rPr>
              <w:t> </w:t>
            </w:r>
            <w:r>
              <w:rPr>
                <w:rFonts w:ascii="Times New Roman" w:hAnsi="Times New Roman"/>
                <w:b/>
                <w:bCs/>
                <w:color w:val="0D0D0D" w:themeColor="text1" w:themeTint="f2"/>
                <w:spacing w:val="-2"/>
                <w:sz w:val="27"/>
                <w:szCs w:val="27"/>
              </w:rPr>
              <w:t>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форми первинної облікової документації №</w:t>
            </w:r>
            <w:r>
              <w:rPr>
                <w:rFonts w:ascii="Times New Roman" w:hAnsi="Times New Roman"/>
                <w:color w:val="0D0D0D" w:themeColor="text1" w:themeTint="f2"/>
                <w:spacing w:val="-2"/>
                <w:sz w:val="27"/>
                <w:szCs w:val="27"/>
                <w:shd w:fill="FFFFFF" w:val="clear"/>
              </w:rPr>
              <w:t> </w:t>
            </w:r>
            <w:r>
              <w:rPr>
                <w:rFonts w:ascii="Times New Roman" w:hAnsi="Times New Roman"/>
                <w:color w:val="0D0D0D" w:themeColor="text1" w:themeTint="f2"/>
                <w:spacing w:val="-2"/>
                <w:sz w:val="27"/>
                <w:szCs w:val="27"/>
              </w:rPr>
              <w:t>044-1 “Результати обговорень мультидисциплінарної реабілітаційної команди стосовно особи, яка потребує реабілітації”, затвердженої наказом МОЗ від 14.02.2012 №</w:t>
            </w:r>
            <w:r>
              <w:rPr>
                <w:rFonts w:ascii="Times New Roman" w:hAnsi="Times New Roman"/>
                <w:color w:val="0D0D0D" w:themeColor="text1" w:themeTint="f2"/>
                <w:spacing w:val="-2"/>
                <w:sz w:val="27"/>
                <w:szCs w:val="27"/>
                <w:shd w:fill="FFFFFF" w:val="clear"/>
              </w:rPr>
              <w:t> </w:t>
            </w:r>
            <w:r>
              <w:rPr>
                <w:rFonts w:ascii="Times New Roman" w:hAnsi="Times New Roman"/>
                <w:color w:val="0D0D0D" w:themeColor="text1" w:themeTint="f2"/>
                <w:spacing w:val="-2"/>
                <w:sz w:val="27"/>
                <w:szCs w:val="27"/>
              </w:rPr>
              <w:t>110, або інших документів, що підтверджують проходження реабілітаційної допомоги в амбулаторних умовах;</w:t>
            </w:r>
          </w:p>
          <w:p>
            <w:pPr>
              <w:pStyle w:val="Normal"/>
              <w:keepNext w:val="true"/>
              <w:widowControl w:val="false"/>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військово-облікового документа;</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pPr>
              <w:pStyle w:val="Normal"/>
              <w:keepNext w:val="true"/>
              <w:widowControl w:val="false"/>
              <w:ind w:firstLine="567"/>
              <w:jc w:val="both"/>
              <w:rPr>
                <w:rFonts w:ascii="Times New Roman" w:hAnsi="Times New Roman"/>
                <w:color w:val="0D0D0D"/>
                <w:spacing w:val="-2"/>
                <w:sz w:val="27"/>
                <w:szCs w:val="27"/>
              </w:rPr>
            </w:pPr>
            <w:r>
              <w:rPr>
                <w:rFonts w:ascii="Times New Roman" w:hAnsi="Times New Roman"/>
                <w:color w:val="0D0D0D" w:themeColor="text1" w:themeTint="f2"/>
                <w:spacing w:val="-2"/>
                <w:sz w:val="27"/>
                <w:szCs w:val="27"/>
              </w:rPr>
              <w:t>витягу з наказу про звільнення зі служби в поліції, виключення з кадрів ДСНС.</w:t>
            </w:r>
          </w:p>
        </w:tc>
      </w:tr>
      <w:tr>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8</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color w:val="0D0D0D"/>
                <w:sz w:val="27"/>
                <w:szCs w:val="27"/>
              </w:rPr>
            </w:pPr>
            <w:r>
              <w:rPr>
                <w:rFonts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Заява разом із доданими до неї копіями документів подається:</w:t>
            </w:r>
          </w:p>
          <w:p>
            <w:pPr>
              <w:pStyle w:val="Normal"/>
              <w:widowControl w:val="false"/>
              <w:ind w:firstLine="567"/>
              <w:jc w:val="both"/>
              <w:rPr>
                <w:color w:val="000000"/>
              </w:rPr>
            </w:pPr>
            <w:r>
              <w:rPr>
                <w:rFonts w:ascii="Times New Roman" w:hAnsi="Times New Roman"/>
                <w:color w:val="000000" w:themeTint="f2"/>
                <w:sz w:val="27"/>
                <w:szCs w:val="27"/>
              </w:rPr>
              <w:t>Безпосередньо управлінню соціального захисту населення</w:t>
            </w:r>
            <w:r>
              <w:rPr>
                <w:rFonts w:ascii="Times New Roman" w:hAnsi="Times New Roman"/>
                <w:color w:val="000000" w:themeTint="f2"/>
                <w:spacing w:val="-2"/>
                <w:sz w:val="27"/>
                <w:szCs w:val="27"/>
              </w:rPr>
              <w:t xml:space="preserve"> за адресою найманого житлового приміщення</w:t>
            </w:r>
          </w:p>
          <w:p>
            <w:pPr>
              <w:pStyle w:val="Normal"/>
              <w:widowControl w:val="false"/>
              <w:ind w:firstLine="567"/>
              <w:jc w:val="both"/>
              <w:rPr>
                <w:color w:val="000000"/>
              </w:rPr>
            </w:pPr>
            <w:r>
              <w:rPr>
                <w:color w:val="000000"/>
              </w:rPr>
            </w:r>
          </w:p>
        </w:tc>
      </w:tr>
      <w:tr>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9</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Платність (безоплатність) надання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sz w:val="27"/>
                <w:szCs w:val="27"/>
              </w:rPr>
            </w:r>
          </w:p>
          <w:p>
            <w:pPr>
              <w:pStyle w:val="Normal"/>
              <w:widowControl w:val="false"/>
              <w:jc w:val="both"/>
              <w:rPr>
                <w:rFonts w:ascii="Times New Roman" w:hAnsi="Times New Roman"/>
                <w:color w:val="0D0D0D"/>
                <w:sz w:val="27"/>
                <w:szCs w:val="27"/>
              </w:rPr>
            </w:pPr>
            <w:r>
              <w:rPr>
                <w:rFonts w:ascii="Times New Roman" w:hAnsi="Times New Roman"/>
                <w:color w:val="0D0D0D"/>
                <w:sz w:val="27"/>
                <w:szCs w:val="27"/>
              </w:rPr>
            </w:r>
          </w:p>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Безоплатно</w:t>
            </w:r>
          </w:p>
        </w:tc>
      </w:tr>
      <w:tr>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10</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color w:val="0D0D0D"/>
                <w:sz w:val="27"/>
                <w:szCs w:val="27"/>
              </w:rPr>
            </w:pPr>
            <w:r>
              <w:rPr>
                <w:rFonts w:ascii="Times New Roman" w:hAnsi="Times New Roman"/>
                <w:color w:val="0D0D0D" w:themeColor="text1" w:themeTint="f2"/>
                <w:sz w:val="27"/>
                <w:szCs w:val="27"/>
              </w:rPr>
              <w:t>Строк надання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color w:val="0D0D0D"/>
                <w:sz w:val="27"/>
                <w:szCs w:val="27"/>
              </w:rPr>
            </w:pPr>
            <w:r>
              <w:rPr>
                <w:rFonts w:ascii="Times New Roman" w:hAnsi="Times New Roman"/>
                <w:color w:val="0D0D0D" w:themeColor="text1" w:themeTint="f2"/>
                <w:sz w:val="27"/>
                <w:szCs w:val="27"/>
              </w:rPr>
              <w:t>10 робочих днів</w:t>
            </w:r>
          </w:p>
        </w:tc>
      </w:tr>
      <w:tr>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11</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Перелік підстав для відмови у наданні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1565" w:leader="none"/>
              </w:tabs>
              <w:jc w:val="both"/>
              <w:rPr>
                <w:rFonts w:ascii="Times New Roman" w:hAnsi="Times New Roman"/>
                <w:color w:val="0D0D0D"/>
                <w:sz w:val="27"/>
                <w:szCs w:val="27"/>
              </w:rPr>
            </w:pPr>
            <w:r>
              <w:rPr>
                <w:rFonts w:ascii="Times New Roman" w:hAnsi="Times New Roman"/>
                <w:color w:val="0D0D0D" w:themeColor="text1" w:themeTint="f2"/>
                <w:sz w:val="27"/>
                <w:szCs w:val="27"/>
              </w:rPr>
              <w:t xml:space="preserve">Управління соціального захисту населення відмовляє у виплаті грошової компенсації </w:t>
            </w:r>
            <w:r>
              <w:rPr>
                <w:rFonts w:ascii="Times New Roman" w:hAnsi="Times New Roman"/>
                <w:color w:val="0D0D0D" w:themeColor="text1" w:themeTint="f2"/>
                <w:sz w:val="27"/>
                <w:szCs w:val="27"/>
                <w:shd w:fill="FFFFFF" w:val="clear"/>
              </w:rPr>
              <w:t>за найм (оренду) житлових приміщень (далі</w:t>
            </w:r>
            <w:r>
              <w:rPr>
                <w:rFonts w:ascii="Times New Roman" w:hAnsi="Times New Roman"/>
                <w:color w:val="0D0D0D" w:themeColor="text1" w:themeTint="f2"/>
                <w:sz w:val="27"/>
                <w:szCs w:val="27"/>
              </w:rPr>
              <w:t xml:space="preserve"> – грошова компенсація) у разі:</w:t>
            </w:r>
          </w:p>
          <w:p>
            <w:pPr>
              <w:pStyle w:val="Normal"/>
              <w:widowControl w:val="false"/>
              <w:tabs>
                <w:tab w:val="clear" w:pos="720"/>
                <w:tab w:val="left" w:pos="1565" w:leader="none"/>
              </w:tabs>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 xml:space="preserve">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w:t>
            </w:r>
            <w:r>
              <w:rPr>
                <w:rFonts w:ascii="Times New Roman" w:hAnsi="Times New Roman"/>
                <w:color w:val="0D0D0D" w:themeColor="text1" w:themeTint="f2"/>
                <w:spacing w:val="-2"/>
                <w:sz w:val="27"/>
                <w:szCs w:val="27"/>
              </w:rPr>
              <w:t>Порядку № 252</w:t>
            </w:r>
            <w:r>
              <w:rPr>
                <w:rFonts w:ascii="Times New Roman" w:hAnsi="Times New Roman"/>
                <w:color w:val="0D0D0D" w:themeColor="text1" w:themeTint="f2"/>
                <w:sz w:val="27"/>
                <w:szCs w:val="27"/>
              </w:rPr>
              <w:t>;</w:t>
            </w:r>
          </w:p>
          <w:p>
            <w:pPr>
              <w:pStyle w:val="Normal"/>
              <w:widowControl w:val="false"/>
              <w:tabs>
                <w:tab w:val="clear" w:pos="720"/>
                <w:tab w:val="left" w:pos="1565" w:leader="none"/>
              </w:tabs>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забезпечення Захисника та Захисниці службовим житлом, житловим приміщенням для постійного проживання;</w:t>
            </w:r>
          </w:p>
          <w:p>
            <w:pPr>
              <w:pStyle w:val="Normal"/>
              <w:widowControl w:val="false"/>
              <w:tabs>
                <w:tab w:val="clear" w:pos="720"/>
                <w:tab w:val="left" w:pos="1565" w:leader="none"/>
              </w:tabs>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виплати Захиснику та Захисниці грошової компенсації за належне для отримання житлове приміщення;</w:t>
            </w:r>
          </w:p>
          <w:p>
            <w:pPr>
              <w:pStyle w:val="Normal"/>
              <w:widowControl w:val="false"/>
              <w:tabs>
                <w:tab w:val="clear" w:pos="720"/>
                <w:tab w:val="left" w:pos="1565" w:leader="none"/>
              </w:tabs>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 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w:t>
            </w:r>
            <w:r>
              <w:rPr>
                <w:rFonts w:ascii="Times New Roman" w:hAnsi="Times New Roman"/>
                <w:color w:val="0D0D0D" w:themeColor="text1" w:themeTint="f2"/>
                <w:sz w:val="27"/>
                <w:szCs w:val="27"/>
                <w:shd w:fill="FFFFFF" w:val="clear"/>
              </w:rPr>
              <w:t> </w:t>
            </w:r>
            <w:r>
              <w:rPr>
                <w:rFonts w:ascii="Times New Roman" w:hAnsi="Times New Roman"/>
                <w:color w:val="0D0D0D" w:themeColor="text1" w:themeTint="f2"/>
                <w:sz w:val="27"/>
                <w:szCs w:val="27"/>
              </w:rPr>
              <w:t>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p>
            <w:pPr>
              <w:pStyle w:val="Normal"/>
              <w:widowControl w:val="false"/>
              <w:tabs>
                <w:tab w:val="clear" w:pos="720"/>
                <w:tab w:val="left" w:pos="1565" w:leader="none"/>
              </w:tabs>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pPr>
              <w:pStyle w:val="Normal"/>
              <w:widowControl w:val="false"/>
              <w:tabs>
                <w:tab w:val="clear" w:pos="720"/>
                <w:tab w:val="left" w:pos="1565" w:leader="none"/>
              </w:tabs>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отримання реабілітаційної допомоги в амбулаторних умовах поза межами адреси задекларованого/ зареєстрованого місця проживання, розташованого на відстані до 15 кілометрів від місця проживання;</w:t>
            </w:r>
          </w:p>
          <w:p>
            <w:pPr>
              <w:pStyle w:val="Normal"/>
              <w:widowControl w:val="false"/>
              <w:tabs>
                <w:tab w:val="clear" w:pos="720"/>
                <w:tab w:val="left" w:pos="1565" w:leader="none"/>
              </w:tabs>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подання Захисником та Захисницею недостовірних відомостей;</w:t>
            </w:r>
          </w:p>
          <w:p>
            <w:pPr>
              <w:pStyle w:val="Normal"/>
              <w:widowControl w:val="false"/>
              <w:tabs>
                <w:tab w:val="clear" w:pos="720"/>
                <w:tab w:val="left" w:pos="1565" w:leader="none"/>
              </w:tabs>
              <w:ind w:firstLine="567"/>
              <w:jc w:val="both"/>
              <w:rPr>
                <w:rFonts w:ascii="Times New Roman" w:hAnsi="Times New Roman"/>
                <w:color w:val="0D0D0D"/>
                <w:sz w:val="27"/>
                <w:szCs w:val="27"/>
              </w:rPr>
            </w:pPr>
            <w:r>
              <w:rPr>
                <w:rFonts w:ascii="Times New Roman" w:hAnsi="Times New Roman"/>
                <w:color w:val="0D0D0D" w:themeColor="text1" w:themeTint="f2"/>
                <w:sz w:val="27"/>
                <w:szCs w:val="27"/>
              </w:rPr>
              <w:t>наявність обвинувального вироку суду у зв’язку із вчиненням Захисником та Захисницею злочину проти України.</w:t>
            </w:r>
          </w:p>
        </w:tc>
      </w:tr>
      <w:tr>
        <w:trPr>
          <w:trHeight w:val="618" w:hRule="atLeas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12</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Результат надання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58" w:leader="none"/>
                <w:tab w:val="left" w:pos="449" w:leader="none"/>
              </w:tabs>
              <w:jc w:val="both"/>
              <w:rPr>
                <w:rFonts w:ascii="Times New Roman" w:hAnsi="Times New Roman"/>
                <w:color w:val="0D0D0D"/>
                <w:sz w:val="27"/>
                <w:szCs w:val="27"/>
              </w:rPr>
            </w:pPr>
            <w:r>
              <w:rPr>
                <w:rFonts w:ascii="Times New Roman" w:hAnsi="Times New Roman"/>
                <w:color w:val="0D0D0D" w:themeColor="text1" w:themeTint="f2"/>
                <w:sz w:val="27"/>
                <w:szCs w:val="27"/>
                <w:shd w:fill="FFFFFF" w:val="clear"/>
              </w:rPr>
              <w:t>Рішення про виплату (відмову у виплаті) грошової компенсації</w:t>
            </w:r>
          </w:p>
        </w:tc>
      </w:tr>
      <w:tr>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13</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Способи отримання відповіді (результату)</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sz w:val="27"/>
                <w:szCs w:val="27"/>
              </w:rPr>
            </w:r>
          </w:p>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Особисто</w:t>
            </w:r>
          </w:p>
        </w:tc>
      </w:tr>
      <w:tr>
        <w:trPr>
          <w:trHeight w:val="300" w:hRule="atLeas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color w:val="0D0D0D"/>
                <w:sz w:val="27"/>
                <w:szCs w:val="27"/>
              </w:rPr>
            </w:pPr>
            <w:r>
              <w:rPr>
                <w:rFonts w:ascii="Times New Roman" w:hAnsi="Times New Roman"/>
                <w:color w:val="0D0D0D" w:themeColor="text1" w:themeTint="f2"/>
                <w:sz w:val="27"/>
                <w:szCs w:val="27"/>
              </w:rPr>
              <w:t>14</w:t>
            </w:r>
          </w:p>
        </w:tc>
        <w:tc>
          <w:tcPr>
            <w:tcW w:w="246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59"/>
              <w:jc w:val="both"/>
              <w:rPr>
                <w:rFonts w:ascii="Times New Roman" w:hAnsi="Times New Roman"/>
                <w:color w:val="0D0D0D"/>
                <w:sz w:val="27"/>
                <w:szCs w:val="27"/>
              </w:rPr>
            </w:pPr>
            <w:r>
              <w:rPr>
                <w:rFonts w:ascii="Times New Roman" w:hAnsi="Times New Roman"/>
                <w:color w:val="0D0D0D" w:themeColor="text1" w:themeTint="f2"/>
                <w:sz w:val="27"/>
                <w:szCs w:val="27"/>
              </w:rPr>
              <w:t>Примітка</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color w:val="0D0D0D"/>
                <w:sz w:val="27"/>
                <w:szCs w:val="27"/>
              </w:rPr>
            </w:pPr>
            <w:r>
              <w:rPr>
                <w:rFonts w:ascii="Times New Roman" w:hAnsi="Times New Roman"/>
                <w:color w:val="0D0D0D" w:themeColor="text1" w:themeTint="f2"/>
                <w:sz w:val="27"/>
                <w:szCs w:val="27"/>
              </w:rP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pPr>
        <w:pStyle w:val="Normal"/>
        <w:rPr>
          <w:rFonts w:ascii="Times New Roman" w:hAnsi="Times New Roman"/>
          <w:bCs/>
          <w:color w:val="0D0D0D"/>
          <w:sz w:val="27"/>
          <w:szCs w:val="27"/>
        </w:rPr>
      </w:pPr>
      <w:r>
        <w:rPr/>
      </w:r>
    </w:p>
    <w:sectPr>
      <w:headerReference w:type="default" r:id="rId3"/>
      <w:type w:val="nextPage"/>
      <w:pgSz w:w="11906" w:h="16838"/>
      <w:pgMar w:left="1276" w:right="851" w:gutter="0" w:header="510" w:top="1134" w:footer="0" w:bottom="1276"/>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sz w:val="28"/>
        <w:szCs w:val="28"/>
      </w:rPr>
    </w:pPr>
    <w:r>
      <w:rPr>
        <w:color w:val="000000"/>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Times New Roman" w:cs="Times New Roman"/>
        <w:sz w:val="24"/>
        <w:szCs w:val="24"/>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Times New Roman" w:cs="Times New Roman"/>
      <w:color w:val="auto"/>
      <w:kern w:val="0"/>
      <w:sz w:val="24"/>
      <w:szCs w:val="24"/>
      <w:lang w:val="uk-UA" w:eastAsia="en-US"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8">
    <w:name w:val="Hyperlink"/>
    <w:basedOn w:val="DefaultParagraphFont"/>
    <w:rPr>
      <w:color w:val="0000FF"/>
      <w:u w:val="single"/>
    </w:rPr>
  </w:style>
  <w:style w:type="character" w:styleId="Rvts46" w:customStyle="1">
    <w:name w:val="rvts46"/>
    <w:qFormat/>
    <w:rPr/>
  </w:style>
  <w:style w:type="character" w:styleId="Annotationreference">
    <w:name w:val="annotation reference"/>
    <w:basedOn w:val="DefaultParagraphFont"/>
    <w:semiHidden/>
    <w:qFormat/>
    <w:rPr>
      <w:sz w:val="16"/>
      <w:szCs w:val="16"/>
    </w:rPr>
  </w:style>
  <w:style w:type="character" w:styleId="Style9" w:customStyle="1">
    <w:name w:val="Текст примітки Знак"/>
    <w:basedOn w:val="DefaultParagraphFont"/>
    <w:link w:val="Annotationtext"/>
    <w:semiHidden/>
    <w:qFormat/>
    <w:rPr>
      <w:sz w:val="20"/>
      <w:szCs w:val="20"/>
    </w:rPr>
  </w:style>
  <w:style w:type="character" w:styleId="Style10" w:customStyle="1">
    <w:name w:val="Тема примітки Знак"/>
    <w:basedOn w:val="Style9"/>
    <w:link w:val="Annotationsubject"/>
    <w:semiHidden/>
    <w:qFormat/>
    <w:rPr>
      <w:b/>
      <w:bCs/>
      <w:sz w:val="20"/>
      <w:szCs w:val="20"/>
    </w:rPr>
  </w:style>
  <w:style w:type="character" w:styleId="Style11" w:customStyle="1">
    <w:name w:val="Текст у виносці Знак"/>
    <w:basedOn w:val="DefaultParagraphFont"/>
    <w:link w:val="BalloonText"/>
    <w:semiHidden/>
    <w:qFormat/>
    <w:rPr>
      <w:rFonts w:ascii="Segoe UI" w:hAnsi="Segoe UI"/>
      <w:sz w:val="18"/>
      <w:szCs w:val="18"/>
    </w:rPr>
  </w:style>
  <w:style w:type="character" w:styleId="Style12" w:customStyle="1">
    <w:name w:val="Верхній колонтитул Знак"/>
    <w:basedOn w:val="DefaultParagraphFont"/>
    <w:qFormat/>
    <w:rPr/>
  </w:style>
  <w:style w:type="character" w:styleId="Style13" w:customStyle="1">
    <w:name w:val="Нижній колонтитул Знак"/>
    <w:basedOn w:val="DefaultParagraphFont"/>
    <w:qFormat/>
    <w:rPr/>
  </w:style>
  <w:style w:type="character" w:styleId="Rvts15" w:customStyle="1">
    <w:name w:val="rvts15"/>
    <w:basedOn w:val="DefaultParagraphFont"/>
    <w:qFormat/>
    <w:rPr/>
  </w:style>
  <w:style w:type="character" w:styleId="Rvts80" w:customStyle="1">
    <w:name w:val="rvts80"/>
    <w:basedOn w:val="DefaultParagraphFont"/>
    <w:qFormat/>
    <w:rPr/>
  </w:style>
  <w:style w:type="character" w:styleId="UnresolvedMention">
    <w:name w:val="Unresolved Mention"/>
    <w:basedOn w:val="DefaultParagraphFont"/>
    <w:semiHidden/>
    <w:qFormat/>
    <w:rPr>
      <w:color w:val="605E5C"/>
      <w:shd w:fill="E1DFDD" w:val="clear"/>
    </w:rPr>
  </w:style>
  <w:style w:type="character" w:styleId="Style14">
    <w:name w:val="Символ сноски"/>
    <w:semiHidden/>
    <w:qFormat/>
    <w:rPr>
      <w:vertAlign w:val="superscript"/>
    </w:rPr>
  </w:style>
  <w:style w:type="character" w:styleId="Style15">
    <w:name w:val="Footnote Reference"/>
    <w:rPr>
      <w:vertAlign w:val="superscript"/>
    </w:rPr>
  </w:style>
  <w:style w:type="character" w:styleId="Style16" w:customStyle="1">
    <w:name w:val="Текст виноски Знак"/>
    <w:semiHidden/>
    <w:qFormat/>
    <w:rPr>
      <w:sz w:val="20"/>
      <w:szCs w:val="20"/>
    </w:rPr>
  </w:style>
  <w:style w:type="character" w:styleId="Style17">
    <w:name w:val="Символ концевой сноски"/>
    <w:semiHidden/>
    <w:qFormat/>
    <w:rPr>
      <w:vertAlign w:val="superscript"/>
    </w:rPr>
  </w:style>
  <w:style w:type="character" w:styleId="Style18">
    <w:name w:val="Endnote Reference"/>
    <w:rPr>
      <w:vertAlign w:val="superscript"/>
    </w:rPr>
  </w:style>
  <w:style w:type="character" w:styleId="Style19" w:customStyle="1">
    <w:name w:val="Текст кінцевої виноски Знак"/>
    <w:semiHidden/>
    <w:qFormat/>
    <w:rPr>
      <w:sz w:val="20"/>
      <w:szCs w:val="20"/>
    </w:rPr>
  </w:style>
  <w:style w:type="character" w:styleId="Style20">
    <w:name w:val="FollowedHyperlink"/>
    <w:rPr>
      <w:color w:val="800000"/>
      <w:u w:val="single"/>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Style26">
    <w:name w:val="Title"/>
    <w:basedOn w:val="Normal"/>
    <w:next w:val="Normal"/>
    <w:uiPriority w:val="10"/>
    <w:qFormat/>
    <w:pPr>
      <w:keepNext w:val="true"/>
      <w:keepLines/>
      <w:spacing w:before="480" w:after="120"/>
    </w:pPr>
    <w:rPr>
      <w:b/>
      <w:sz w:val="72"/>
      <w:szCs w:val="72"/>
    </w:rPr>
  </w:style>
  <w:style w:type="paragraph" w:styleId="Style27">
    <w:name w:val="Subtitle"/>
    <w:basedOn w:val="Normal"/>
    <w:next w:val="Normal"/>
    <w:uiPriority w:val="11"/>
    <w:qFormat/>
    <w:pPr>
      <w:keepNext w:val="true"/>
      <w:keepLines/>
      <w:spacing w:before="360" w:after="80"/>
    </w:pPr>
    <w:rPr>
      <w:rFonts w:ascii="Georgia" w:hAnsi="Georgia"/>
      <w:i/>
      <w:color w:val="666666"/>
      <w:sz w:val="48"/>
      <w:szCs w:val="48"/>
    </w:rPr>
  </w:style>
  <w:style w:type="paragraph" w:styleId="ListParagraph">
    <w:name w:val="List Paragraph"/>
    <w:basedOn w:val="Normal"/>
    <w:qFormat/>
    <w:pPr>
      <w:spacing w:before="0" w:after="0"/>
      <w:ind w:left="720" w:hanging="0"/>
      <w:contextualSpacing/>
      <w:jc w:val="both"/>
    </w:pPr>
    <w:rPr>
      <w:rFonts w:ascii="Times New Roman" w:hAnsi="Times New Roman"/>
      <w:sz w:val="28"/>
      <w:szCs w:val="28"/>
    </w:rPr>
  </w:style>
  <w:style w:type="paragraph" w:styleId="Rvps2" w:customStyle="1">
    <w:name w:val="rvps2"/>
    <w:basedOn w:val="Normal"/>
    <w:qFormat/>
    <w:pPr>
      <w:spacing w:before="0" w:afterAutospacing="1"/>
    </w:pPr>
    <w:rPr>
      <w:rFonts w:ascii="Times New Roman" w:hAnsi="Times New Roman"/>
    </w:rPr>
  </w:style>
  <w:style w:type="paragraph" w:styleId="Annotationtext">
    <w:name w:val="annotation text"/>
    <w:basedOn w:val="Normal"/>
    <w:link w:val="Style9"/>
    <w:semiHidden/>
    <w:qFormat/>
    <w:pPr/>
    <w:rPr>
      <w:sz w:val="20"/>
      <w:szCs w:val="20"/>
    </w:rPr>
  </w:style>
  <w:style w:type="paragraph" w:styleId="Annotationsubject">
    <w:name w:val="annotation subject"/>
    <w:basedOn w:val="Annotationtext"/>
    <w:next w:val="Annotationtext"/>
    <w:link w:val="Style10"/>
    <w:semiHidden/>
    <w:qFormat/>
    <w:pPr/>
    <w:rPr>
      <w:b/>
      <w:bCs/>
    </w:rPr>
  </w:style>
  <w:style w:type="paragraph" w:styleId="BalloonText">
    <w:name w:val="Balloon Text"/>
    <w:basedOn w:val="Normal"/>
    <w:link w:val="Style11"/>
    <w:semiHidden/>
    <w:qFormat/>
    <w:pPr/>
    <w:rPr>
      <w:rFonts w:ascii="Segoe UI" w:hAnsi="Segoe UI"/>
      <w:sz w:val="18"/>
      <w:szCs w:val="18"/>
    </w:rPr>
  </w:style>
  <w:style w:type="paragraph" w:styleId="Tl" w:customStyle="1">
    <w:name w:val="tl"/>
    <w:basedOn w:val="Normal"/>
    <w:qFormat/>
    <w:pPr>
      <w:spacing w:beforeAutospacing="1" w:afterAutospacing="1"/>
    </w:pPr>
    <w:rPr>
      <w:rFonts w:ascii="Times New Roman" w:hAnsi="Times New Roman"/>
      <w:lang w:eastAsia="ru-RU"/>
    </w:rPr>
  </w:style>
  <w:style w:type="paragraph" w:styleId="Style28">
    <w:name w:val="Колонтитул"/>
    <w:basedOn w:val="Normal"/>
    <w:qFormat/>
    <w:pPr/>
    <w:rPr/>
  </w:style>
  <w:style w:type="paragraph" w:styleId="Style29">
    <w:name w:val="Header"/>
    <w:basedOn w:val="Normal"/>
    <w:link w:val="Style12"/>
    <w:pPr>
      <w:tabs>
        <w:tab w:val="clear" w:pos="720"/>
        <w:tab w:val="center" w:pos="4677" w:leader="none"/>
        <w:tab w:val="right" w:pos="9355" w:leader="none"/>
      </w:tabs>
    </w:pPr>
    <w:rPr/>
  </w:style>
  <w:style w:type="paragraph" w:styleId="Style30">
    <w:name w:val="Footer"/>
    <w:basedOn w:val="Normal"/>
    <w:link w:val="Style13"/>
    <w:pPr>
      <w:tabs>
        <w:tab w:val="clear" w:pos="720"/>
        <w:tab w:val="center" w:pos="4677" w:leader="none"/>
        <w:tab w:val="right" w:pos="9355" w:leader="none"/>
      </w:tabs>
    </w:pPr>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en-US" w:bidi="ar-SA"/>
    </w:rPr>
  </w:style>
  <w:style w:type="paragraph" w:styleId="Style31">
    <w:name w:val="Footnote Text"/>
    <w:link w:val="Style16"/>
    <w:semiHidden/>
    <w:pPr>
      <w:widowControl/>
      <w:suppressAutoHyphens w:val="true"/>
      <w:bidi w:val="0"/>
      <w:spacing w:before="0" w:after="0"/>
      <w:jc w:val="left"/>
    </w:pPr>
    <w:rPr>
      <w:rFonts w:ascii="Bookman Old Style" w:hAnsi="Bookman Old Style" w:eastAsia="Times New Roman" w:cs="Times New Roman"/>
      <w:color w:val="auto"/>
      <w:kern w:val="0"/>
      <w:sz w:val="20"/>
      <w:szCs w:val="20"/>
      <w:lang w:val="uk-UA" w:eastAsia="en-US" w:bidi="ar-SA"/>
    </w:rPr>
  </w:style>
  <w:style w:type="paragraph" w:styleId="Style32">
    <w:name w:val="Endnote Text"/>
    <w:link w:val="Style19"/>
    <w:semiHidden/>
    <w:pPr>
      <w:widowControl/>
      <w:suppressAutoHyphens w:val="true"/>
      <w:bidi w:val="0"/>
      <w:spacing w:before="0" w:after="0"/>
      <w:jc w:val="left"/>
    </w:pPr>
    <w:rPr>
      <w:rFonts w:ascii="Bookman Old Style" w:hAnsi="Bookman Old Style" w:eastAsia="Times New Roman" w:cs="Times New Roman"/>
      <w:color w:val="auto"/>
      <w:kern w:val="0"/>
      <w:sz w:val="20"/>
      <w:szCs w:val="20"/>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0">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NormalTable0">
    <w:name w:val="Normal Table0"/>
    <w:tblPr>
      <w:tblCellMar>
        <w:top w:w="0" w:type="dxa"/>
        <w:left w:w="0" w:type="dxa"/>
        <w:bottom w:w="0" w:type="dxa"/>
        <w:right w:w="0"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Application>LibreOffice/7.4.5.1$Windows_X86_64 LibreOffice_project/9c0871452b3918c1019dde9bfac75448afc4b57f</Application>
  <AppVersion>15.0000</AppVersion>
  <Pages>8</Pages>
  <Words>2047</Words>
  <Characters>14599</Characters>
  <CharactersWithSpaces>16548</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2025-06-30T13:25:00Z</dcterms:created>
  <dc:creator>Ira Shamraeva</dc:creator>
  <dc:description/>
  <dc:language>ru-RU</dc:language>
  <cp:lastModifiedBy/>
  <cp:lastPrinted>2025-06-30T06:33:00Z</cp:lastPrinted>
  <dcterms:modified xsi:type="dcterms:W3CDTF">2025-12-17T13:49:04Z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